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561" w:rsidRDefault="00634561" w:rsidP="00634561">
      <w:pPr>
        <w:suppressLineNumbers/>
        <w:spacing w:after="0" w:line="240" w:lineRule="auto"/>
        <w:jc w:val="center"/>
        <w:rPr>
          <w:rFonts w:ascii="Times New Roman" w:eastAsia="Times New Roman" w:hAnsi="Times New Roman" w:cs="David"/>
          <w:noProof/>
          <w:sz w:val="24"/>
          <w:szCs w:val="24"/>
          <w:rtl/>
        </w:rPr>
      </w:pPr>
      <w:r>
        <w:rPr>
          <w:noProof/>
        </w:rPr>
        <w:drawing>
          <wp:inline distT="0" distB="0" distL="0" distR="0" wp14:anchorId="63A610F6" wp14:editId="253E8564">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634561" w:rsidRDefault="00634561" w:rsidP="00634561">
      <w:pPr>
        <w:suppressLineNumbers/>
        <w:spacing w:after="0" w:line="240" w:lineRule="auto"/>
        <w:rPr>
          <w:rFonts w:ascii="Times New Roman" w:eastAsia="Times New Roman" w:hAnsi="Times New Roman" w:cs="David"/>
          <w:noProof/>
          <w:sz w:val="24"/>
          <w:szCs w:val="24"/>
          <w:rtl/>
        </w:rPr>
      </w:pPr>
    </w:p>
    <w:tbl>
      <w:tblPr>
        <w:bidiVisual/>
        <w:tblW w:w="0" w:type="auto"/>
        <w:jc w:val="center"/>
        <w:tblLook w:val="04A0" w:firstRow="1" w:lastRow="0" w:firstColumn="1" w:lastColumn="0" w:noHBand="0" w:noVBand="1"/>
      </w:tblPr>
      <w:tblGrid>
        <w:gridCol w:w="4809"/>
        <w:gridCol w:w="3497"/>
      </w:tblGrid>
      <w:tr w:rsidR="00634561" w:rsidTr="00634561">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634561" w:rsidRDefault="00634561">
                <w:pPr>
                  <w:pStyle w:val="a4"/>
                  <w:jc w:val="center"/>
                  <w:rPr>
                    <w:rFonts w:ascii="Tahoma" w:hAnsi="Tahoma"/>
                    <w:color w:val="000080"/>
                    <w:sz w:val="32"/>
                    <w:szCs w:val="32"/>
                  </w:rPr>
                </w:pPr>
                <w:r>
                  <w:rPr>
                    <w:rFonts w:ascii="Tahoma" w:hAnsi="Tahoma"/>
                    <w:color w:val="000080"/>
                    <w:sz w:val="32"/>
                    <w:szCs w:val="32"/>
                    <w:rtl/>
                  </w:rPr>
                  <w:t>בית המשפט המחוזי בבאר שבע</w:t>
                </w:r>
              </w:p>
            </w:tc>
          </w:sdtContent>
        </w:sdt>
      </w:tr>
      <w:tr w:rsidR="00634561" w:rsidTr="00634561">
        <w:trPr>
          <w:trHeight w:val="337"/>
          <w:jc w:val="center"/>
        </w:trPr>
        <w:tc>
          <w:tcPr>
            <w:tcW w:w="5047" w:type="dxa"/>
          </w:tcPr>
          <w:p w:rsidR="00634561" w:rsidRDefault="00634561">
            <w:pPr>
              <w:rPr>
                <w:rFonts w:ascii="Times New Roman" w:hAnsi="Times New Roman"/>
                <w:b/>
                <w:bCs/>
                <w:sz w:val="26"/>
                <w:szCs w:val="26"/>
                <w:rtl/>
              </w:rPr>
            </w:pPr>
          </w:p>
        </w:tc>
        <w:tc>
          <w:tcPr>
            <w:tcW w:w="3674" w:type="dxa"/>
          </w:tcPr>
          <w:p w:rsidR="00634561" w:rsidRDefault="00634561">
            <w:pPr>
              <w:pStyle w:val="a4"/>
              <w:jc w:val="right"/>
              <w:rPr>
                <w:b/>
                <w:bCs/>
                <w:noProof w:val="0"/>
                <w:sz w:val="26"/>
                <w:szCs w:val="26"/>
                <w:rtl/>
              </w:rPr>
            </w:pPr>
          </w:p>
        </w:tc>
      </w:tr>
      <w:tr w:rsidR="00634561" w:rsidTr="00634561">
        <w:trPr>
          <w:trHeight w:val="337"/>
          <w:jc w:val="center"/>
        </w:trPr>
        <w:tc>
          <w:tcPr>
            <w:tcW w:w="8721" w:type="dxa"/>
            <w:gridSpan w:val="2"/>
          </w:tcPr>
          <w:p w:rsidR="00634561" w:rsidRPr="00634561" w:rsidRDefault="00F64126">
            <w:pPr>
              <w:rPr>
                <w:rFonts w:ascii="David" w:hAnsi="David" w:cs="David"/>
                <w:b/>
                <w:bCs/>
                <w:sz w:val="26"/>
                <w:szCs w:val="26"/>
                <w:rtl/>
              </w:rPr>
            </w:pPr>
            <w:sdt>
              <w:sdtPr>
                <w:rPr>
                  <w:rFonts w:ascii="David" w:hAnsi="David" w:cs="David"/>
                  <w:rtl/>
                </w:rPr>
                <w:alias w:val="1170"/>
                <w:tag w:val="1170"/>
                <w:id w:val="1066377040"/>
                <w:text w:multiLine="1"/>
              </w:sdtPr>
              <w:sdtEndPr/>
              <w:sdtContent>
                <w:proofErr w:type="spellStart"/>
                <w:r w:rsidR="00634561" w:rsidRPr="00634561">
                  <w:rPr>
                    <w:rFonts w:ascii="David" w:hAnsi="David" w:cs="David"/>
                    <w:b/>
                    <w:bCs/>
                    <w:sz w:val="26"/>
                    <w:szCs w:val="26"/>
                    <w:rtl/>
                  </w:rPr>
                  <w:t>רמ"ש</w:t>
                </w:r>
                <w:proofErr w:type="spellEnd"/>
              </w:sdtContent>
            </w:sdt>
            <w:r w:rsidR="00634561" w:rsidRPr="00634561">
              <w:rPr>
                <w:rFonts w:ascii="David" w:hAnsi="David" w:cs="David"/>
                <w:b/>
                <w:bCs/>
                <w:sz w:val="26"/>
                <w:szCs w:val="26"/>
                <w:rtl/>
              </w:rPr>
              <w:t xml:space="preserve"> </w:t>
            </w:r>
            <w:bookmarkStart w:id="0" w:name="_GoBack"/>
            <w:sdt>
              <w:sdtPr>
                <w:rPr>
                  <w:rFonts w:ascii="David" w:hAnsi="David" w:cs="David"/>
                  <w:rtl/>
                </w:rPr>
                <w:alias w:val="1171"/>
                <w:tag w:val="1171"/>
                <w:id w:val="257034231"/>
                <w:text w:multiLine="1"/>
              </w:sdtPr>
              <w:sdtEndPr/>
              <w:sdtContent>
                <w:r w:rsidR="00634561" w:rsidRPr="00634561">
                  <w:rPr>
                    <w:rFonts w:ascii="David" w:hAnsi="David" w:cs="David"/>
                    <w:b/>
                    <w:bCs/>
                    <w:sz w:val="26"/>
                    <w:szCs w:val="26"/>
                    <w:rtl/>
                  </w:rPr>
                  <w:t>42418-06-23</w:t>
                </w:r>
              </w:sdtContent>
            </w:sdt>
            <w:bookmarkEnd w:id="0"/>
            <w:r w:rsidR="00634561" w:rsidRPr="00634561">
              <w:rPr>
                <w:rFonts w:ascii="David" w:hAnsi="David" w:cs="David"/>
                <w:b/>
                <w:bCs/>
                <w:sz w:val="26"/>
                <w:szCs w:val="26"/>
                <w:rtl/>
              </w:rPr>
              <w:t xml:space="preserve"> </w:t>
            </w:r>
            <w:sdt>
              <w:sdtPr>
                <w:rPr>
                  <w:rFonts w:ascii="David" w:hAnsi="David" w:cs="David"/>
                  <w:b/>
                  <w:bCs/>
                  <w:sz w:val="26"/>
                  <w:szCs w:val="26"/>
                  <w:rtl/>
                </w:rPr>
                <w:alias w:val="3154"/>
                <w:tag w:val="3154"/>
                <w:id w:val="-1714497037"/>
                <w:placeholder>
                  <w:docPart w:val="49C8DA68888445708D20457747A439EB"/>
                </w:placeholder>
                <w:text w:multiLine="1"/>
              </w:sdtPr>
              <w:sdtEndPr/>
              <w:sdtContent>
                <w:r w:rsidR="00634561" w:rsidRPr="00634561">
                  <w:rPr>
                    <w:rFonts w:ascii="David" w:hAnsi="David" w:cs="David"/>
                    <w:b/>
                    <w:bCs/>
                    <w:sz w:val="26"/>
                    <w:szCs w:val="26"/>
                    <w:rtl/>
                  </w:rPr>
                  <w:t>פלוני נ' אלמונית</w:t>
                </w:r>
              </w:sdtContent>
            </w:sdt>
            <w:r w:rsidR="00634561" w:rsidRPr="00634561">
              <w:rPr>
                <w:rFonts w:ascii="David" w:hAnsi="David" w:cs="David"/>
                <w:b/>
                <w:bCs/>
                <w:sz w:val="26"/>
                <w:szCs w:val="26"/>
                <w:rtl/>
              </w:rPr>
              <w:t xml:space="preserve"> </w:t>
            </w:r>
          </w:p>
          <w:p w:rsidR="00634561" w:rsidRDefault="00634561">
            <w:pPr>
              <w:rPr>
                <w:b/>
                <w:bCs/>
                <w:sz w:val="2"/>
                <w:szCs w:val="2"/>
                <w:rtl/>
              </w:rPr>
            </w:pPr>
          </w:p>
          <w:p w:rsidR="00634561" w:rsidRDefault="00634561" w:rsidP="00634561">
            <w:pPr>
              <w:rPr>
                <w:noProof/>
                <w:sz w:val="20"/>
                <w:szCs w:val="20"/>
                <w:rtl/>
              </w:rPr>
            </w:pPr>
            <w:r>
              <w:rPr>
                <w:rtl/>
              </w:rPr>
              <w:t xml:space="preserve">                      </w:t>
            </w:r>
            <w:r>
              <w:rPr>
                <w:sz w:val="20"/>
                <w:szCs w:val="20"/>
                <w:rtl/>
              </w:rPr>
              <w:t xml:space="preserve">                                       </w:t>
            </w:r>
          </w:p>
          <w:p w:rsidR="00634561" w:rsidRDefault="00634561">
            <w:pPr>
              <w:rPr>
                <w:sz w:val="20"/>
                <w:szCs w:val="20"/>
                <w:rtl/>
              </w:rPr>
            </w:pPr>
          </w:p>
        </w:tc>
      </w:tr>
    </w:tbl>
    <w:p w:rsidR="00634561" w:rsidRDefault="00634561" w:rsidP="00634561">
      <w:pPr>
        <w:suppressLineNumbers/>
        <w:spacing w:after="0" w:line="240" w:lineRule="auto"/>
        <w:rPr>
          <w:rFonts w:ascii="Times New Roman" w:eastAsia="Times New Roman" w:hAnsi="Times New Roman" w:cs="David"/>
          <w:noProof/>
          <w:sz w:val="24"/>
          <w:szCs w:val="24"/>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34561" w:rsidRPr="00634561" w:rsidTr="00634561">
        <w:trPr>
          <w:jc w:val="center"/>
        </w:trPr>
        <w:tc>
          <w:tcPr>
            <w:tcW w:w="743" w:type="dxa"/>
            <w:hideMark/>
          </w:tcPr>
          <w:p w:rsidR="00634561" w:rsidRPr="00634561" w:rsidRDefault="00634561" w:rsidP="00634561">
            <w:pPr>
              <w:suppressLineNumbers/>
              <w:jc w:val="both"/>
              <w:rPr>
                <w:rFonts w:ascii="Arial" w:hAnsi="Arial" w:cs="David"/>
                <w:b/>
                <w:bCs/>
                <w:noProof/>
                <w:sz w:val="26"/>
                <w:szCs w:val="26"/>
                <w:rtl/>
              </w:rPr>
            </w:pPr>
            <w:r w:rsidRPr="00634561">
              <w:rPr>
                <w:rFonts w:ascii="Arial" w:hAnsi="Arial" w:cs="David"/>
                <w:b/>
                <w:bCs/>
                <w:noProof/>
                <w:sz w:val="26"/>
                <w:szCs w:val="26"/>
                <w:rtl/>
              </w:rPr>
              <w:t xml:space="preserve">בפני </w:t>
            </w:r>
          </w:p>
        </w:tc>
        <w:tc>
          <w:tcPr>
            <w:tcW w:w="8077" w:type="dxa"/>
            <w:gridSpan w:val="2"/>
          </w:tcPr>
          <w:p w:rsidR="00634561" w:rsidRPr="00634561" w:rsidRDefault="00634561" w:rsidP="00634561">
            <w:pPr>
              <w:suppressLineNumbers/>
              <w:jc w:val="left"/>
              <w:rPr>
                <w:rFonts w:ascii="Arial" w:hAnsi="Arial" w:cs="David"/>
                <w:b/>
                <w:bCs/>
                <w:noProof/>
                <w:sz w:val="26"/>
                <w:szCs w:val="26"/>
                <w:rtl/>
              </w:rPr>
            </w:pPr>
            <w:r w:rsidRPr="00634561">
              <w:rPr>
                <w:rFonts w:ascii="Arial" w:hAnsi="Arial" w:cs="David"/>
                <w:b/>
                <w:bCs/>
                <w:noProof/>
                <w:sz w:val="26"/>
                <w:szCs w:val="26"/>
                <w:rtl/>
              </w:rPr>
              <w:t>כבוד ה</w:t>
            </w:r>
            <w:sdt>
              <w:sdtPr>
                <w:rPr>
                  <w:rFonts w:cs="David"/>
                  <w:b/>
                  <w:bCs/>
                  <w:noProof/>
                  <w:sz w:val="26"/>
                  <w:szCs w:val="26"/>
                  <w:rtl/>
                </w:rPr>
                <w:alias w:val="1574"/>
                <w:tag w:val="1574"/>
                <w:id w:val="414602899"/>
                <w:text w:multiLine="1"/>
              </w:sdtPr>
              <w:sdtEndPr/>
              <w:sdtContent>
                <w:r w:rsidRPr="00634561">
                  <w:rPr>
                    <w:rFonts w:cs="David"/>
                    <w:b/>
                    <w:bCs/>
                    <w:noProof/>
                    <w:sz w:val="26"/>
                    <w:szCs w:val="26"/>
                    <w:rtl/>
                  </w:rPr>
                  <w:t>שופטת</w:t>
                </w:r>
              </w:sdtContent>
            </w:sdt>
            <w:r w:rsidRPr="00634561">
              <w:rPr>
                <w:rFonts w:ascii="Arial" w:hAnsi="Arial" w:cs="David"/>
                <w:b/>
                <w:bCs/>
                <w:noProof/>
                <w:sz w:val="26"/>
                <w:szCs w:val="26"/>
                <w:rtl/>
              </w:rPr>
              <w:t xml:space="preserve"> </w:t>
            </w:r>
            <w:sdt>
              <w:sdtPr>
                <w:rPr>
                  <w:rFonts w:cs="David"/>
                  <w:b/>
                  <w:bCs/>
                  <w:noProof/>
                  <w:sz w:val="26"/>
                  <w:szCs w:val="26"/>
                  <w:rtl/>
                </w:rPr>
                <w:alias w:val="1573"/>
                <w:tag w:val="1573"/>
                <w:id w:val="-1751030614"/>
                <w:text w:multiLine="1"/>
              </w:sdtPr>
              <w:sdtEndPr/>
              <w:sdtContent>
                <w:r w:rsidRPr="00634561">
                  <w:rPr>
                    <w:rFonts w:cs="David"/>
                    <w:b/>
                    <w:bCs/>
                    <w:noProof/>
                    <w:sz w:val="26"/>
                    <w:szCs w:val="26"/>
                    <w:rtl/>
                  </w:rPr>
                  <w:t>פאני גילת כהן</w:t>
                </w:r>
              </w:sdtContent>
            </w:sdt>
          </w:p>
          <w:p w:rsidR="00634561" w:rsidRPr="00634561" w:rsidRDefault="00634561" w:rsidP="00634561">
            <w:pPr>
              <w:suppressLineNumbers/>
              <w:rPr>
                <w:rFonts w:cs="David"/>
                <w:b/>
                <w:bCs/>
                <w:noProof/>
                <w:sz w:val="26"/>
                <w:szCs w:val="26"/>
                <w:rtl/>
              </w:rPr>
            </w:pPr>
          </w:p>
        </w:tc>
      </w:tr>
      <w:tr w:rsidR="00634561" w:rsidRPr="00634561" w:rsidTr="00634561">
        <w:trPr>
          <w:jc w:val="center"/>
        </w:trPr>
        <w:tc>
          <w:tcPr>
            <w:tcW w:w="3249" w:type="dxa"/>
            <w:gridSpan w:val="2"/>
          </w:tcPr>
          <w:p w:rsidR="00634561" w:rsidRPr="00634561" w:rsidRDefault="00634561" w:rsidP="00634561">
            <w:pPr>
              <w:suppressLineNumbers/>
              <w:rPr>
                <w:rFonts w:cs="David"/>
                <w:noProof/>
                <w:sz w:val="24"/>
                <w:szCs w:val="24"/>
              </w:rPr>
            </w:pPr>
          </w:p>
          <w:sdt>
            <w:sdtPr>
              <w:rPr>
                <w:rFonts w:cs="David"/>
                <w:b/>
                <w:bCs/>
                <w:noProof/>
                <w:sz w:val="24"/>
                <w:szCs w:val="24"/>
                <w:rtl/>
              </w:rPr>
              <w:alias w:val="1180"/>
              <w:tag w:val="1180"/>
              <w:id w:val="637458750"/>
              <w:text w:multiLine="1"/>
            </w:sdtPr>
            <w:sdtEndPr/>
            <w:sdtContent>
              <w:p w:rsidR="00634561" w:rsidRPr="00634561" w:rsidRDefault="00634561" w:rsidP="00634561">
                <w:pPr>
                  <w:suppressLineNumbers/>
                  <w:jc w:val="left"/>
                  <w:rPr>
                    <w:rFonts w:ascii="Arial" w:hAnsi="Arial" w:cs="David"/>
                    <w:b/>
                    <w:bCs/>
                    <w:sz w:val="26"/>
                    <w:szCs w:val="26"/>
                    <w:rtl/>
                  </w:rPr>
                </w:pPr>
                <w:r w:rsidRPr="00634561">
                  <w:rPr>
                    <w:rFonts w:cs="David"/>
                    <w:b/>
                    <w:bCs/>
                    <w:noProof/>
                    <w:sz w:val="24"/>
                    <w:szCs w:val="24"/>
                    <w:rtl/>
                  </w:rPr>
                  <w:t>המבקש</w:t>
                </w:r>
              </w:p>
            </w:sdtContent>
          </w:sdt>
        </w:tc>
        <w:tc>
          <w:tcPr>
            <w:tcW w:w="5571" w:type="dxa"/>
          </w:tcPr>
          <w:p w:rsidR="00634561" w:rsidRPr="00634561" w:rsidRDefault="00634561" w:rsidP="00634561">
            <w:pPr>
              <w:suppressLineNumbers/>
              <w:rPr>
                <w:rFonts w:cs="David"/>
                <w:noProof/>
                <w:sz w:val="24"/>
                <w:szCs w:val="24"/>
                <w:rtl/>
              </w:rPr>
            </w:pPr>
          </w:p>
          <w:p w:rsidR="00634561" w:rsidRPr="00634561" w:rsidRDefault="00F64126" w:rsidP="00634561">
            <w:pPr>
              <w:suppressLineNumbers/>
              <w:jc w:val="left"/>
              <w:rPr>
                <w:rFonts w:cs="David"/>
                <w:b/>
                <w:bCs/>
                <w:sz w:val="26"/>
                <w:szCs w:val="26"/>
                <w:rtl/>
              </w:rPr>
            </w:pPr>
            <w:sdt>
              <w:sdtPr>
                <w:rPr>
                  <w:rFonts w:ascii="Arial" w:hAnsi="Arial" w:cs="David"/>
                  <w:b/>
                  <w:bCs/>
                  <w:sz w:val="26"/>
                  <w:szCs w:val="26"/>
                  <w:rtl/>
                </w:rPr>
                <w:alias w:val="3151"/>
                <w:tag w:val="3151"/>
                <w:id w:val="1166218717"/>
                <w:placeholder>
                  <w:docPart w:val="323A310D0BD74E3AA79C65F79EBF064A"/>
                </w:placeholder>
                <w:text w:multiLine="1"/>
              </w:sdtPr>
              <w:sdtEndPr/>
              <w:sdtContent>
                <w:r w:rsidR="00634561" w:rsidRPr="00634561">
                  <w:rPr>
                    <w:rFonts w:ascii="Arial" w:hAnsi="Arial" w:cs="David"/>
                    <w:b/>
                    <w:bCs/>
                    <w:sz w:val="26"/>
                    <w:szCs w:val="26"/>
                    <w:rtl/>
                  </w:rPr>
                  <w:t>פלוני</w:t>
                </w:r>
                <w:r w:rsidR="00634561" w:rsidRPr="00634561">
                  <w:rPr>
                    <w:rFonts w:ascii="Arial" w:hAnsi="Arial" w:cs="David"/>
                    <w:b/>
                    <w:bCs/>
                    <w:sz w:val="26"/>
                    <w:szCs w:val="26"/>
                    <w:rtl/>
                  </w:rPr>
                  <w:br/>
                  <w:t>באמצעות ב"כ עו"ד טובה גוטמן</w:t>
                </w:r>
              </w:sdtContent>
            </w:sdt>
          </w:p>
        </w:tc>
      </w:tr>
      <w:tr w:rsidR="00634561" w:rsidRPr="00634561" w:rsidTr="00634561">
        <w:trPr>
          <w:jc w:val="center"/>
        </w:trPr>
        <w:tc>
          <w:tcPr>
            <w:tcW w:w="8820" w:type="dxa"/>
            <w:gridSpan w:val="3"/>
          </w:tcPr>
          <w:p w:rsidR="00634561" w:rsidRPr="00634561" w:rsidRDefault="00634561" w:rsidP="00634561">
            <w:pPr>
              <w:suppressLineNumbers/>
              <w:rPr>
                <w:rFonts w:ascii="Arial" w:hAnsi="Arial" w:cs="David"/>
                <w:b/>
                <w:bCs/>
                <w:sz w:val="26"/>
                <w:szCs w:val="26"/>
              </w:rPr>
            </w:pPr>
          </w:p>
          <w:p w:rsidR="00634561" w:rsidRPr="00634561" w:rsidRDefault="00634561" w:rsidP="00634561">
            <w:pPr>
              <w:suppressLineNumbers/>
              <w:jc w:val="center"/>
              <w:rPr>
                <w:rFonts w:ascii="Arial" w:hAnsi="Arial" w:cs="David"/>
                <w:b/>
                <w:bCs/>
                <w:sz w:val="26"/>
                <w:szCs w:val="26"/>
                <w:rtl/>
              </w:rPr>
            </w:pPr>
          </w:p>
        </w:tc>
      </w:tr>
      <w:tr w:rsidR="00634561" w:rsidRPr="00634561" w:rsidTr="00634561">
        <w:trPr>
          <w:jc w:val="center"/>
        </w:trPr>
        <w:tc>
          <w:tcPr>
            <w:tcW w:w="3249" w:type="dxa"/>
            <w:gridSpan w:val="2"/>
            <w:hideMark/>
          </w:tcPr>
          <w:p w:rsidR="00634561" w:rsidRPr="00634561" w:rsidRDefault="00F64126" w:rsidP="00634561">
            <w:pPr>
              <w:suppressLineNumbers/>
              <w:jc w:val="left"/>
              <w:rPr>
                <w:rFonts w:ascii="Arial" w:hAnsi="Arial" w:cs="David"/>
                <w:b/>
                <w:bCs/>
                <w:sz w:val="26"/>
                <w:szCs w:val="26"/>
              </w:rPr>
            </w:pPr>
            <w:sdt>
              <w:sdtPr>
                <w:rPr>
                  <w:rFonts w:cs="David"/>
                  <w:b/>
                  <w:bCs/>
                  <w:noProof/>
                  <w:sz w:val="24"/>
                  <w:szCs w:val="24"/>
                  <w:rtl/>
                </w:rPr>
                <w:alias w:val="1184"/>
                <w:tag w:val="1184"/>
                <w:id w:val="-340621022"/>
                <w:text w:multiLine="1"/>
              </w:sdtPr>
              <w:sdtEndPr/>
              <w:sdtContent>
                <w:r w:rsidR="00634561" w:rsidRPr="00634561">
                  <w:rPr>
                    <w:rFonts w:cs="David"/>
                    <w:b/>
                    <w:bCs/>
                    <w:noProof/>
                    <w:sz w:val="24"/>
                    <w:szCs w:val="24"/>
                    <w:rtl/>
                  </w:rPr>
                  <w:t>המשיבה</w:t>
                </w:r>
              </w:sdtContent>
            </w:sdt>
          </w:p>
        </w:tc>
        <w:tc>
          <w:tcPr>
            <w:tcW w:w="5571" w:type="dxa"/>
          </w:tcPr>
          <w:p w:rsidR="00634561" w:rsidRPr="00634561" w:rsidRDefault="00F64126" w:rsidP="00634561">
            <w:pPr>
              <w:suppressLineNumbers/>
              <w:jc w:val="left"/>
              <w:rPr>
                <w:rFonts w:ascii="Arial" w:hAnsi="Arial" w:cs="David"/>
                <w:b/>
                <w:bCs/>
                <w:sz w:val="26"/>
                <w:szCs w:val="26"/>
              </w:rPr>
            </w:pPr>
            <w:sdt>
              <w:sdtPr>
                <w:rPr>
                  <w:rFonts w:ascii="Arial" w:hAnsi="Arial" w:cs="David"/>
                  <w:b/>
                  <w:bCs/>
                  <w:sz w:val="26"/>
                  <w:szCs w:val="26"/>
                  <w:rtl/>
                </w:rPr>
                <w:alias w:val="3152"/>
                <w:tag w:val="3152"/>
                <w:id w:val="-1346628691"/>
                <w:placeholder>
                  <w:docPart w:val="0DDB7B9A9C2E420A863DEF775DD99A53"/>
                </w:placeholder>
                <w:text w:multiLine="1"/>
              </w:sdtPr>
              <w:sdtEndPr/>
              <w:sdtContent>
                <w:r w:rsidR="00634561" w:rsidRPr="00634561">
                  <w:rPr>
                    <w:rFonts w:ascii="Arial" w:hAnsi="Arial" w:cs="David"/>
                    <w:b/>
                    <w:bCs/>
                    <w:sz w:val="26"/>
                    <w:szCs w:val="26"/>
                    <w:rtl/>
                  </w:rPr>
                  <w:t>אלמונית</w:t>
                </w:r>
              </w:sdtContent>
            </w:sdt>
          </w:p>
          <w:p w:rsidR="00634561" w:rsidRPr="00634561" w:rsidRDefault="00634561" w:rsidP="00634561">
            <w:pPr>
              <w:suppressLineNumbers/>
              <w:jc w:val="left"/>
              <w:rPr>
                <w:rFonts w:ascii="Arial" w:hAnsi="Arial" w:cs="David"/>
                <w:b/>
                <w:bCs/>
                <w:sz w:val="26"/>
                <w:szCs w:val="26"/>
                <w:rtl/>
              </w:rPr>
            </w:pPr>
            <w:r w:rsidRPr="00634561">
              <w:rPr>
                <w:rFonts w:ascii="Arial" w:hAnsi="Arial" w:cs="David"/>
                <w:b/>
                <w:bCs/>
                <w:sz w:val="26"/>
                <w:szCs w:val="26"/>
                <w:rtl/>
              </w:rPr>
              <w:t>באמצעות עו"ד נתנאל מויאל</w:t>
            </w:r>
          </w:p>
          <w:p w:rsidR="00634561" w:rsidRPr="00634561" w:rsidRDefault="00634561" w:rsidP="00634561">
            <w:pPr>
              <w:suppressLineNumbers/>
              <w:rPr>
                <w:rFonts w:ascii="Arial" w:hAnsi="Arial" w:cs="David"/>
                <w:b/>
                <w:bCs/>
                <w:sz w:val="26"/>
                <w:szCs w:val="26"/>
                <w:rtl/>
              </w:rPr>
            </w:pPr>
          </w:p>
          <w:p w:rsidR="00634561" w:rsidRPr="00634561" w:rsidRDefault="00634561" w:rsidP="00634561">
            <w:pPr>
              <w:suppressLineNumbers/>
              <w:rPr>
                <w:rFonts w:ascii="Arial" w:hAnsi="Arial" w:cs="David"/>
                <w:b/>
                <w:bCs/>
                <w:sz w:val="26"/>
                <w:szCs w:val="26"/>
                <w:rtl/>
              </w:rPr>
            </w:pPr>
          </w:p>
        </w:tc>
      </w:tr>
      <w:tr w:rsidR="00634561" w:rsidRPr="00634561" w:rsidTr="00634561">
        <w:trPr>
          <w:jc w:val="center"/>
        </w:trPr>
        <w:tc>
          <w:tcPr>
            <w:tcW w:w="8820" w:type="dxa"/>
            <w:gridSpan w:val="3"/>
          </w:tcPr>
          <w:p w:rsidR="00634561" w:rsidRPr="00634561" w:rsidRDefault="00634561" w:rsidP="00634561">
            <w:pPr>
              <w:suppressLineNumbers/>
              <w:rPr>
                <w:rFonts w:cs="David"/>
                <w:noProof/>
                <w:sz w:val="24"/>
                <w:szCs w:val="24"/>
                <w:rtl/>
              </w:rPr>
            </w:pPr>
          </w:p>
        </w:tc>
      </w:tr>
      <w:tr w:rsidR="00634561" w:rsidRPr="00634561" w:rsidTr="00634561">
        <w:trPr>
          <w:jc w:val="center"/>
        </w:trPr>
        <w:tc>
          <w:tcPr>
            <w:tcW w:w="3249" w:type="dxa"/>
            <w:gridSpan w:val="2"/>
            <w:hideMark/>
          </w:tcPr>
          <w:p w:rsidR="00634561" w:rsidRPr="00634561" w:rsidRDefault="00F64126" w:rsidP="00634561">
            <w:pPr>
              <w:suppressLineNumbers/>
              <w:jc w:val="left"/>
              <w:rPr>
                <w:rFonts w:ascii="Arial" w:hAnsi="Arial" w:cs="David"/>
                <w:b/>
                <w:bCs/>
                <w:sz w:val="26"/>
                <w:szCs w:val="26"/>
                <w:u w:val="single"/>
                <w:rtl/>
              </w:rPr>
            </w:pPr>
            <w:sdt>
              <w:sdtPr>
                <w:rPr>
                  <w:rFonts w:cs="David"/>
                  <w:b/>
                  <w:bCs/>
                  <w:noProof/>
                  <w:sz w:val="24"/>
                  <w:szCs w:val="24"/>
                  <w:u w:val="single"/>
                  <w:rtl/>
                </w:rPr>
                <w:alias w:val="1184"/>
                <w:tag w:val="1184"/>
                <w:id w:val="-1396737468"/>
                <w:text w:multiLine="1"/>
              </w:sdtPr>
              <w:sdtEndPr/>
              <w:sdtContent>
                <w:r w:rsidR="00634561" w:rsidRPr="00634561">
                  <w:rPr>
                    <w:rFonts w:cs="David"/>
                    <w:b/>
                    <w:bCs/>
                    <w:noProof/>
                    <w:sz w:val="24"/>
                    <w:szCs w:val="24"/>
                    <w:u w:val="single"/>
                    <w:rtl/>
                  </w:rPr>
                  <w:t>ובעניין הקטינות:</w:t>
                </w:r>
              </w:sdtContent>
            </w:sdt>
          </w:p>
        </w:tc>
        <w:tc>
          <w:tcPr>
            <w:tcW w:w="5571" w:type="dxa"/>
          </w:tcPr>
          <w:p w:rsidR="00634561" w:rsidRPr="00634561" w:rsidRDefault="00634561" w:rsidP="00634561">
            <w:pPr>
              <w:suppressLineNumbers/>
              <w:jc w:val="left"/>
              <w:rPr>
                <w:rFonts w:ascii="Arial" w:hAnsi="Arial" w:cs="David"/>
                <w:b/>
                <w:bCs/>
                <w:sz w:val="26"/>
                <w:szCs w:val="26"/>
              </w:rPr>
            </w:pPr>
            <w:r w:rsidRPr="00634561">
              <w:rPr>
                <w:rFonts w:ascii="Arial" w:hAnsi="Arial" w:cs="David"/>
                <w:b/>
                <w:bCs/>
                <w:sz w:val="26"/>
                <w:szCs w:val="26"/>
                <w:rtl/>
              </w:rPr>
              <w:t>1. ...</w:t>
            </w:r>
          </w:p>
          <w:p w:rsidR="00634561" w:rsidRPr="00634561" w:rsidRDefault="00634561" w:rsidP="00634561">
            <w:pPr>
              <w:suppressLineNumbers/>
              <w:jc w:val="left"/>
              <w:rPr>
                <w:rFonts w:ascii="Arial" w:hAnsi="Arial" w:cs="David"/>
                <w:b/>
                <w:bCs/>
                <w:sz w:val="26"/>
                <w:szCs w:val="26"/>
              </w:rPr>
            </w:pPr>
            <w:r w:rsidRPr="00634561">
              <w:rPr>
                <w:rFonts w:ascii="Arial" w:hAnsi="Arial" w:cs="David"/>
                <w:b/>
                <w:bCs/>
                <w:sz w:val="26"/>
                <w:szCs w:val="26"/>
                <w:rtl/>
              </w:rPr>
              <w:t>2. ...</w:t>
            </w:r>
          </w:p>
          <w:p w:rsidR="00634561" w:rsidRPr="00634561" w:rsidRDefault="00634561" w:rsidP="00634561">
            <w:pPr>
              <w:suppressLineNumbers/>
              <w:jc w:val="left"/>
              <w:rPr>
                <w:rFonts w:ascii="Arial" w:hAnsi="Arial" w:cs="David"/>
                <w:b/>
                <w:bCs/>
                <w:sz w:val="26"/>
                <w:szCs w:val="26"/>
                <w:rtl/>
              </w:rPr>
            </w:pPr>
            <w:r w:rsidRPr="00634561">
              <w:rPr>
                <w:rFonts w:ascii="Arial" w:hAnsi="Arial" w:cs="David"/>
                <w:b/>
                <w:bCs/>
                <w:sz w:val="26"/>
                <w:szCs w:val="26"/>
                <w:rtl/>
              </w:rPr>
              <w:t>באמצעות האפוטרופוס לדין עו"ד מאיר כהן</w:t>
            </w:r>
          </w:p>
          <w:p w:rsidR="00634561" w:rsidRPr="00634561" w:rsidRDefault="00634561" w:rsidP="00634561">
            <w:pPr>
              <w:suppressLineNumbers/>
              <w:rPr>
                <w:rFonts w:ascii="Arial" w:hAnsi="Arial" w:cs="David"/>
                <w:b/>
                <w:bCs/>
                <w:sz w:val="26"/>
                <w:szCs w:val="26"/>
                <w:rtl/>
              </w:rPr>
            </w:pPr>
          </w:p>
          <w:p w:rsidR="00634561" w:rsidRPr="00634561" w:rsidRDefault="00634561" w:rsidP="00634561">
            <w:pPr>
              <w:suppressLineNumbers/>
              <w:rPr>
                <w:rFonts w:ascii="Arial" w:hAnsi="Arial" w:cs="David"/>
                <w:b/>
                <w:bCs/>
                <w:sz w:val="26"/>
                <w:szCs w:val="26"/>
                <w:rtl/>
              </w:rPr>
            </w:pPr>
          </w:p>
        </w:tc>
      </w:tr>
      <w:tr w:rsidR="00634561" w:rsidRPr="00634561" w:rsidTr="00634561">
        <w:trPr>
          <w:jc w:val="center"/>
        </w:trPr>
        <w:tc>
          <w:tcPr>
            <w:tcW w:w="8820" w:type="dxa"/>
            <w:gridSpan w:val="3"/>
          </w:tcPr>
          <w:p w:rsidR="00634561" w:rsidRPr="00634561" w:rsidRDefault="00634561" w:rsidP="00634561">
            <w:pPr>
              <w:suppressLineNumbers/>
              <w:rPr>
                <w:rFonts w:ascii="Arial" w:hAnsi="Arial" w:cs="David"/>
                <w:b/>
                <w:bCs/>
                <w:sz w:val="26"/>
                <w:szCs w:val="26"/>
                <w:rtl/>
              </w:rPr>
            </w:pPr>
          </w:p>
        </w:tc>
      </w:tr>
    </w:tbl>
    <w:p w:rsidR="00634561" w:rsidRPr="00634561" w:rsidRDefault="00634561" w:rsidP="00634561">
      <w:pPr>
        <w:suppressLineNumbers/>
        <w:spacing w:after="0" w:line="240" w:lineRule="auto"/>
        <w:rPr>
          <w:rFonts w:ascii="Times New Roman" w:eastAsia="Times New Roman" w:hAnsi="Times New Roman" w:cs="David"/>
          <w:noProof/>
          <w:sz w:val="24"/>
          <w:szCs w:val="24"/>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34561" w:rsidRPr="00634561" w:rsidTr="00634561">
        <w:trPr>
          <w:jc w:val="center"/>
        </w:trPr>
        <w:tc>
          <w:tcPr>
            <w:tcW w:w="8820" w:type="dxa"/>
          </w:tcPr>
          <w:p w:rsidR="00634561" w:rsidRPr="00634561" w:rsidRDefault="00634561" w:rsidP="00634561">
            <w:pPr>
              <w:bidi w:val="0"/>
              <w:jc w:val="center"/>
              <w:rPr>
                <w:rFonts w:ascii="Arial" w:hAnsi="Arial" w:cs="David"/>
                <w:b/>
                <w:bCs/>
                <w:sz w:val="32"/>
                <w:szCs w:val="32"/>
                <w:u w:val="single"/>
                <w:rtl/>
              </w:rPr>
            </w:pPr>
            <w:r w:rsidRPr="00634561">
              <w:rPr>
                <w:rFonts w:ascii="Arial" w:hAnsi="Arial" w:cs="David"/>
                <w:b/>
                <w:bCs/>
                <w:sz w:val="32"/>
                <w:szCs w:val="32"/>
                <w:u w:val="single"/>
                <w:rtl/>
              </w:rPr>
              <w:t>החלטה</w:t>
            </w:r>
          </w:p>
          <w:p w:rsidR="00634561" w:rsidRPr="00634561" w:rsidRDefault="00634561" w:rsidP="00634561">
            <w:pPr>
              <w:bidi w:val="0"/>
              <w:jc w:val="center"/>
              <w:rPr>
                <w:rFonts w:ascii="Arial" w:hAnsi="Arial" w:cs="David"/>
                <w:b/>
                <w:bCs/>
                <w:sz w:val="28"/>
                <w:szCs w:val="28"/>
                <w:u w:val="single"/>
                <w:rtl/>
              </w:rPr>
            </w:pPr>
          </w:p>
        </w:tc>
      </w:tr>
    </w:tbl>
    <w:p w:rsidR="00634561" w:rsidRPr="00634561" w:rsidRDefault="00634561" w:rsidP="00634561">
      <w:pPr>
        <w:spacing w:after="0" w:line="360" w:lineRule="auto"/>
        <w:jc w:val="both"/>
        <w:rPr>
          <w:rFonts w:ascii="Arial" w:eastAsia="Times New Roman" w:hAnsi="Arial" w:cs="David"/>
          <w:sz w:val="24"/>
          <w:szCs w:val="24"/>
        </w:rPr>
      </w:pPr>
      <w:bookmarkStart w:id="1" w:name="NGCSBookmark"/>
      <w:bookmarkEnd w:id="1"/>
      <w:r w:rsidRPr="00634561">
        <w:rPr>
          <w:rFonts w:ascii="Times New Roman" w:eastAsia="Times New Roman" w:hAnsi="Times New Roman" w:cs="David"/>
          <w:b/>
          <w:bCs/>
          <w:noProof/>
          <w:sz w:val="24"/>
          <w:szCs w:val="24"/>
          <w:rtl/>
        </w:rPr>
        <w:t>היש להתערב בהחלטת בית המשפט לענייני משפחה אשר הורה על ביטול המינוי של מומחית מטעמו ומינוי מומחית אחרת תחתיה – זוהי השאלה שבלב ההחלטה שלפנינו.</w:t>
      </w:r>
      <w:r w:rsidRPr="00634561">
        <w:rPr>
          <w:rFonts w:ascii="Arial" w:eastAsia="Times New Roman" w:hAnsi="Arial" w:cs="David"/>
          <w:sz w:val="24"/>
          <w:szCs w:val="24"/>
          <w:rtl/>
        </w:rPr>
        <w:t xml:space="preserve"> </w:t>
      </w:r>
    </w:p>
    <w:p w:rsidR="00634561" w:rsidRPr="00634561" w:rsidRDefault="00634561" w:rsidP="00634561">
      <w:pPr>
        <w:spacing w:after="0" w:line="360" w:lineRule="auto"/>
        <w:jc w:val="both"/>
        <w:rPr>
          <w:rFonts w:ascii="Arial" w:eastAsia="Times New Roman" w:hAnsi="Arial" w:cs="David"/>
          <w:sz w:val="24"/>
          <w:szCs w:val="24"/>
          <w:rtl/>
        </w:rPr>
      </w:pPr>
    </w:p>
    <w:p w:rsidR="00634561" w:rsidRPr="00634561" w:rsidRDefault="00634561" w:rsidP="00634561">
      <w:pPr>
        <w:suppressLineNumbers/>
        <w:spacing w:after="0" w:line="360" w:lineRule="auto"/>
        <w:jc w:val="both"/>
        <w:rPr>
          <w:rFonts w:ascii="Times New Roman" w:eastAsia="Times New Roman" w:hAnsi="Times New Roman" w:cs="David"/>
          <w:b/>
          <w:bCs/>
          <w:noProof/>
          <w:sz w:val="26"/>
          <w:szCs w:val="26"/>
          <w:u w:val="single"/>
          <w:rtl/>
        </w:rPr>
      </w:pPr>
      <w:r w:rsidRPr="00634561">
        <w:rPr>
          <w:rFonts w:ascii="Times New Roman" w:eastAsia="Times New Roman" w:hAnsi="Times New Roman" w:cs="David"/>
          <w:b/>
          <w:bCs/>
          <w:noProof/>
          <w:sz w:val="26"/>
          <w:szCs w:val="26"/>
          <w:u w:val="single"/>
          <w:rtl/>
        </w:rPr>
        <w:t>רקע כללי</w:t>
      </w: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מונחת לפניי בקשת רשות ערעור על החלטת בית המשפט לענייני משפחה באשדוד (כב' השופטת ענת אלפסי) מיום 19.05.2023 (</w:t>
      </w:r>
      <w:proofErr w:type="spellStart"/>
      <w:r w:rsidRPr="00634561">
        <w:rPr>
          <w:rFonts w:ascii="Arial" w:eastAsia="Times New Roman" w:hAnsi="Arial" w:cs="David"/>
          <w:sz w:val="24"/>
          <w:szCs w:val="24"/>
          <w:rtl/>
        </w:rPr>
        <w:t>בתלה"מ</w:t>
      </w:r>
      <w:proofErr w:type="spellEnd"/>
      <w:r w:rsidRPr="00634561">
        <w:rPr>
          <w:rFonts w:ascii="Arial" w:eastAsia="Times New Roman" w:hAnsi="Arial" w:cs="David"/>
          <w:sz w:val="24"/>
          <w:szCs w:val="24"/>
          <w:rtl/>
        </w:rPr>
        <w:t xml:space="preserve"> 37982-02-20) בגדרה נקבע, כי אין מקום להשיב על כנו את מינוי המומחית גב' ללי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(בהתאם להחלטה מיום 12.05.2022), וכי ההחלטה בדבר מינוי המומחית גב' רוני עמית תחתיה (מיום 29.01.2023) עומדת בעינה. בפן הכספי (בכל הנוגע להשבת שכר הטרחה ששולם) נקבע, כי חזקה על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שתפעל בהגינות כלפי המבקש ובהתאם לדברים שמסרה בעל פה למשיבה. </w:t>
      </w:r>
    </w:p>
    <w:p w:rsidR="00634561" w:rsidRPr="00634561" w:rsidRDefault="00634561" w:rsidP="00634561">
      <w:pPr>
        <w:spacing w:after="0" w:line="360" w:lineRule="auto"/>
        <w:ind w:left="720"/>
        <w:contextualSpacing/>
        <w:jc w:val="both"/>
        <w:rPr>
          <w:rFonts w:ascii="Arial" w:eastAsia="Times New Roman" w:hAnsi="Arial" w:cs="David"/>
          <w:sz w:val="24"/>
          <w:szCs w:val="24"/>
        </w:rPr>
      </w:pPr>
    </w:p>
    <w:p w:rsidR="00634561" w:rsidRPr="00634561" w:rsidRDefault="00634561" w:rsidP="00634561">
      <w:pPr>
        <w:spacing w:after="0" w:line="360" w:lineRule="auto"/>
        <w:ind w:left="720"/>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להשלמת התמונה יצוין, כי ביום 04.07.2023 הוגשה ע"י המבקש בקשה לעדכון בקשת רשות הערעור במסגרתה צוין, כי ביום 02.07.2023, ניתנה ע"י בית המשפט קמא החלטה, </w:t>
      </w:r>
      <w:r w:rsidRPr="00634561">
        <w:rPr>
          <w:rFonts w:ascii="Arial" w:eastAsia="Times New Roman" w:hAnsi="Arial" w:cs="David"/>
          <w:sz w:val="24"/>
          <w:szCs w:val="24"/>
          <w:rtl/>
        </w:rPr>
        <w:lastRenderedPageBreak/>
        <w:t xml:space="preserve">בלא שנתקבלה עמדתו בעניין, על פיה שעה שהוא צפוי לקבל החזר כספי בסך 9,111 ₪ מגב'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ושעה שעלותה הצפויה של חוות הדעת החדשה עומדת על 10,500 ₪ בתוספת מע"מ, על המבקש לשאת בתשלום ההפרש למומחית החדשה תוך 7 ימים.  </w:t>
      </w: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מן המונח לפניי עולה, כי הצדדים הם בני זוג לשעבר, שהתגרשו בגט פיטורין בשנת 2018. ביום 16.09.2018 ניתן ע"י בית המשפט קמא פסק דין בגדרו הוכרעו ענייני הרכוש של הצדדים, מזונות ילדיהם הקטינים וזמני השהות.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לצדדים שישה ילדים משותפים, ובעת הזו שתיים מתוכם קטינות ואילו היתר בגירים.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בחודש פברואר 2020 פנה המבקש לבית המשפט קמא והגיש תביעה במסגרתה עתר לקבלת סעדים לחידוש הקשר עם ילדיו בהתבסס ניכור הורי חמור שלהם כלפיו ע"י המשיבה. מנגד, טענה המשיבה בכתב ההגנה שהוגש מטעמה, כי אין ממש בטענות המבקש, וכי בניגוד לנטען על ידו, הנתק בינו ובין הילדים נוצר כתוצאה מהתנהלותו כלפיהם וזניחת הקשר עמם, בעוד היא מצדה תומכת בחידושו ומצהירה כי תשתף פעולה ותעשה כל שיידרש לשם כך.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לאחר שהצדדים הופנו ע"י בית המשפט קמא להדרכה הורית, התקבלו תסקירים מספר ונקבעו זמני שהות במרכז קשר עם הקטינים ובהמשך מחוצה לו, הודיעה המשיבה ביום 28.02.2022, כי בת הצדדים הקטינה, ..., שיתפה אותה בכך שהמבקש פגע בה מינית בעבר ולכן עתרה להפסקת המפגשים עמו.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העניין הופנה לבירור במישור הפלילי ובינתיים פסקו המפגשים בין המבקש והקטינות. ביום 12.05.2022 מונתה הגב' ללי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כמומחית מטעם בית המשפט לצורך בירור הטענות בדבר הפגיעה המינית של המבקש בקטינה. </w:t>
      </w:r>
    </w:p>
    <w:p w:rsidR="00634561" w:rsidRPr="00634561" w:rsidRDefault="00634561" w:rsidP="00634561">
      <w:pPr>
        <w:spacing w:after="0" w:line="240" w:lineRule="auto"/>
        <w:ind w:left="720"/>
        <w:contextualSpacing/>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ביום 05.12.2022 הגישה המומחית הודעה על הפסקת הליך הבדיקה, תוך עדכון בית המשפט קמא בדבר הליך משמעתי שהתנהל כנגדה והשעייתה בעקבותיו למשך שמונה חודשים, וביקשה הוראות מבית המשפט.  </w:t>
      </w:r>
    </w:p>
    <w:p w:rsidR="00634561" w:rsidRPr="00634561" w:rsidRDefault="00634561" w:rsidP="00634561">
      <w:pPr>
        <w:spacing w:after="0" w:line="240" w:lineRule="auto"/>
        <w:ind w:left="720"/>
        <w:contextualSpacing/>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לאחר שנתקבלו עמדות הצדדים בעניין ניתנה ביום 29.01.2023 החלטה לפיה בוטל מינוי המומחית תוך מינוי המומחית גב' רוני עמית תחתיה ומתן הוראות נוספות.</w:t>
      </w:r>
    </w:p>
    <w:p w:rsidR="00634561" w:rsidRPr="00634561" w:rsidRDefault="00634561" w:rsidP="00634561">
      <w:pPr>
        <w:spacing w:after="0" w:line="240" w:lineRule="auto"/>
        <w:ind w:left="720"/>
        <w:contextualSpacing/>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המבקש לא השלים עם ההחלטה ועתר להותרת המינוי של המומחית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על כנו ואף לא נשא בתשלום שכר הטרחה למומחית החדשה בהתאם להוראות בית המשפט. </w:t>
      </w:r>
    </w:p>
    <w:p w:rsidR="00634561" w:rsidRPr="00634561" w:rsidRDefault="00634561" w:rsidP="00634561">
      <w:pPr>
        <w:spacing w:after="0" w:line="240" w:lineRule="auto"/>
        <w:ind w:left="720"/>
        <w:contextualSpacing/>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ביום 20.04.2023 הגישה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לתיק בית המשפט החלטת בית המשפט המחוזי בירושלים בערעור שהגישה על החלטת וועדת המשמעת, וביום 04.05.2023 עדכנה, כי שלב איסוף המידע על ידה הסתיים ומשכך ושעה שהמבקש נשא במלוא שכר טרחתה כשם שהורה בית המשפט,  יש בידה להשלים ההכנה של חוות הדעת. </w:t>
      </w: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בעוד המבקש עתר כי המומחית תשלים מלאכת ההכנה של חוות הדעת, התנגדה לכך המשיבה. באשר להשבת שכר הטרחה הודיעה המומחית ביום 14.05.2023 כי בשים לב </w:t>
      </w:r>
      <w:r w:rsidRPr="00634561">
        <w:rPr>
          <w:rFonts w:ascii="Arial" w:eastAsia="Times New Roman" w:hAnsi="Arial" w:cs="David"/>
          <w:sz w:val="24"/>
          <w:szCs w:val="24"/>
          <w:rtl/>
        </w:rPr>
        <w:lastRenderedPageBreak/>
        <w:t xml:space="preserve">להיקף העבודה שכבר בוצע, היא תוכל להשיב למבקש רק שליש משכר הטרחה ששולם לה על ידו.   </w:t>
      </w:r>
    </w:p>
    <w:p w:rsidR="00634561" w:rsidRPr="00634561" w:rsidRDefault="00634561" w:rsidP="00634561">
      <w:pPr>
        <w:spacing w:after="0" w:line="240" w:lineRule="auto"/>
        <w:ind w:left="720"/>
        <w:contextualSpacing/>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המשיבה מצדה הגישה באותו מועד תמלול שיחה שהתקיימה בינה ובין המומחית במסגרתה נאמר על ידה, כי ככל שהצדדים יחליטו לוותר על חוות הדעת שלה, היא תשיב התשלום. </w:t>
      </w:r>
    </w:p>
    <w:p w:rsidR="00634561" w:rsidRPr="00634561" w:rsidRDefault="00634561" w:rsidP="00634561">
      <w:pPr>
        <w:spacing w:after="0" w:line="360" w:lineRule="auto"/>
        <w:ind w:left="720"/>
        <w:contextualSpacing/>
        <w:jc w:val="both"/>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ביום 15.05.2023 התקיים דיון שנסוב סביב המחלוקות בין הצדדים בעניין חוות דעת המומחית,  בעקבותיו ניתנה ההחלטה נושא הבקשה שלפניי. </w:t>
      </w:r>
    </w:p>
    <w:p w:rsidR="00634561" w:rsidRPr="00634561" w:rsidRDefault="00634561" w:rsidP="00634561">
      <w:pPr>
        <w:spacing w:after="0" w:line="240" w:lineRule="auto"/>
        <w:ind w:left="720"/>
        <w:contextualSpacing/>
        <w:rPr>
          <w:rFonts w:ascii="Arial" w:eastAsia="Times New Roman" w:hAnsi="Arial" w:cs="David"/>
          <w:sz w:val="24"/>
          <w:szCs w:val="24"/>
          <w:rtl/>
        </w:rPr>
      </w:pPr>
    </w:p>
    <w:p w:rsidR="00634561" w:rsidRPr="00634561" w:rsidRDefault="00634561" w:rsidP="00634561">
      <w:pPr>
        <w:spacing w:after="0" w:line="360" w:lineRule="auto"/>
        <w:ind w:left="720"/>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בחלקה האופרטיבי של ההחלטה נקבע, בין השאר, לאמור: </w:t>
      </w:r>
      <w:r w:rsidRPr="00634561">
        <w:rPr>
          <w:rFonts w:ascii="Arial" w:eastAsia="Times New Roman" w:hAnsi="Arial" w:cs="David"/>
          <w:b/>
          <w:bCs/>
          <w:sz w:val="24"/>
          <w:szCs w:val="24"/>
          <w:rtl/>
        </w:rPr>
        <w:t xml:space="preserve">"אין להשיב על כנו את מינויה של המומחית הגב' </w:t>
      </w:r>
      <w:proofErr w:type="spellStart"/>
      <w:r w:rsidRPr="00634561">
        <w:rPr>
          <w:rFonts w:ascii="Arial" w:eastAsia="Times New Roman" w:hAnsi="Arial" w:cs="David"/>
          <w:b/>
          <w:bCs/>
          <w:sz w:val="24"/>
          <w:szCs w:val="24"/>
          <w:rtl/>
        </w:rPr>
        <w:t>גרשנזון</w:t>
      </w:r>
      <w:proofErr w:type="spellEnd"/>
      <w:r w:rsidRPr="00634561">
        <w:rPr>
          <w:rFonts w:ascii="Arial" w:eastAsia="Times New Roman" w:hAnsi="Arial" w:cs="David"/>
          <w:b/>
          <w:bCs/>
          <w:sz w:val="24"/>
          <w:szCs w:val="24"/>
          <w:rtl/>
        </w:rPr>
        <w:t xml:space="preserve"> וההחלטה בדבר מינויה של המומחית הגב' רוני עמית בעינו עומד. באשר להתנהלות הכספית כלפי הגב' </w:t>
      </w:r>
      <w:proofErr w:type="spellStart"/>
      <w:r w:rsidRPr="00634561">
        <w:rPr>
          <w:rFonts w:ascii="Arial" w:eastAsia="Times New Roman" w:hAnsi="Arial" w:cs="David"/>
          <w:b/>
          <w:bCs/>
          <w:sz w:val="24"/>
          <w:szCs w:val="24"/>
          <w:rtl/>
        </w:rPr>
        <w:t>גרשנזון</w:t>
      </w:r>
      <w:proofErr w:type="spellEnd"/>
      <w:r w:rsidRPr="00634561">
        <w:rPr>
          <w:rFonts w:ascii="Arial" w:eastAsia="Times New Roman" w:hAnsi="Arial" w:cs="David"/>
          <w:b/>
          <w:bCs/>
          <w:sz w:val="24"/>
          <w:szCs w:val="24"/>
          <w:rtl/>
        </w:rPr>
        <w:t>, חזקה עליה כי תפעל באופן הוגן כלפי האב, באופן התואם את הדברים שמסרה בעל פה לאם..."</w:t>
      </w:r>
      <w:r w:rsidRPr="00634561">
        <w:rPr>
          <w:rFonts w:ascii="Arial" w:eastAsia="Times New Roman" w:hAnsi="Arial" w:cs="David"/>
          <w:sz w:val="24"/>
          <w:szCs w:val="24"/>
          <w:rtl/>
        </w:rPr>
        <w:t xml:space="preserve">. </w:t>
      </w:r>
    </w:p>
    <w:p w:rsidR="00634561" w:rsidRPr="00634561" w:rsidRDefault="00634561" w:rsidP="00634561">
      <w:pPr>
        <w:spacing w:after="0" w:line="240" w:lineRule="auto"/>
        <w:ind w:left="720"/>
        <w:contextualSpacing/>
        <w:rPr>
          <w:rFonts w:ascii="Arial" w:eastAsia="Times New Roman" w:hAnsi="Arial" w:cs="David"/>
          <w:sz w:val="24"/>
          <w:szCs w:val="24"/>
          <w:rtl/>
        </w:rPr>
      </w:pPr>
    </w:p>
    <w:p w:rsidR="00634561" w:rsidRPr="00634561" w:rsidRDefault="00634561" w:rsidP="00634561">
      <w:pPr>
        <w:spacing w:after="0" w:line="360" w:lineRule="auto"/>
        <w:ind w:left="720"/>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עוד נקבע בהחלטה, כהאי לישנא: </w:t>
      </w:r>
      <w:r w:rsidRPr="00634561">
        <w:rPr>
          <w:rFonts w:ascii="Arial" w:eastAsia="Times New Roman" w:hAnsi="Arial" w:cs="David"/>
          <w:b/>
          <w:bCs/>
          <w:sz w:val="24"/>
          <w:szCs w:val="24"/>
          <w:rtl/>
        </w:rPr>
        <w:t xml:space="preserve">"נמצא, </w:t>
      </w:r>
      <w:proofErr w:type="spellStart"/>
      <w:r w:rsidRPr="00634561">
        <w:rPr>
          <w:rFonts w:ascii="Arial" w:eastAsia="Times New Roman" w:hAnsi="Arial" w:cs="David"/>
          <w:b/>
          <w:bCs/>
          <w:sz w:val="24"/>
          <w:szCs w:val="24"/>
          <w:rtl/>
        </w:rPr>
        <w:t>איפוא</w:t>
      </w:r>
      <w:proofErr w:type="spellEnd"/>
      <w:r w:rsidRPr="00634561">
        <w:rPr>
          <w:rFonts w:ascii="Arial" w:eastAsia="Times New Roman" w:hAnsi="Arial" w:cs="David"/>
          <w:b/>
          <w:bCs/>
          <w:sz w:val="24"/>
          <w:szCs w:val="24"/>
          <w:rtl/>
        </w:rPr>
        <w:t xml:space="preserve">, כי התנהלותה של הגב' </w:t>
      </w:r>
      <w:proofErr w:type="spellStart"/>
      <w:r w:rsidRPr="00634561">
        <w:rPr>
          <w:rFonts w:ascii="Arial" w:eastAsia="Times New Roman" w:hAnsi="Arial" w:cs="David"/>
          <w:b/>
          <w:bCs/>
          <w:sz w:val="24"/>
          <w:szCs w:val="24"/>
          <w:rtl/>
        </w:rPr>
        <w:t>גרשנזון</w:t>
      </w:r>
      <w:proofErr w:type="spellEnd"/>
      <w:r w:rsidRPr="00634561">
        <w:rPr>
          <w:rFonts w:ascii="Arial" w:eastAsia="Times New Roman" w:hAnsi="Arial" w:cs="David"/>
          <w:b/>
          <w:bCs/>
          <w:sz w:val="24"/>
          <w:szCs w:val="24"/>
          <w:rtl/>
        </w:rPr>
        <w:t xml:space="preserve"> כלפי הצדדים, נעשתה באופן המכביד על מתן האמון בה. הודעתה בעניין ההליך המשמעתי כלפיה נעשתה רק לאחר שסיימה את חלקו הארי של הליך האבחון, הודעתה לגבי היקף הלילך </w:t>
      </w:r>
      <w:r w:rsidRPr="00634561">
        <w:rPr>
          <w:rFonts w:ascii="Arial" w:eastAsia="Times New Roman" w:hAnsi="Arial" w:cs="David"/>
          <w:sz w:val="24"/>
          <w:szCs w:val="24"/>
          <w:rtl/>
        </w:rPr>
        <w:t xml:space="preserve">(כך במקור – </w:t>
      </w:r>
      <w:proofErr w:type="spellStart"/>
      <w:r w:rsidRPr="00634561">
        <w:rPr>
          <w:rFonts w:ascii="Arial" w:eastAsia="Times New Roman" w:hAnsi="Arial" w:cs="David"/>
          <w:sz w:val="24"/>
          <w:szCs w:val="24"/>
          <w:rtl/>
        </w:rPr>
        <w:t>פ.ג.כ</w:t>
      </w:r>
      <w:proofErr w:type="spellEnd"/>
      <w:r w:rsidRPr="00634561">
        <w:rPr>
          <w:rFonts w:ascii="Arial" w:eastAsia="Times New Roman" w:hAnsi="Arial" w:cs="David"/>
          <w:sz w:val="24"/>
          <w:szCs w:val="24"/>
          <w:rtl/>
        </w:rPr>
        <w:t>)</w:t>
      </w:r>
      <w:r w:rsidRPr="00634561">
        <w:rPr>
          <w:rFonts w:ascii="Arial" w:eastAsia="Times New Roman" w:hAnsi="Arial" w:cs="David"/>
          <w:b/>
          <w:bCs/>
          <w:sz w:val="24"/>
          <w:szCs w:val="24"/>
          <w:rtl/>
        </w:rPr>
        <w:t xml:space="preserve"> האבחון שונות זו מזו ולאחר שהתחייבה להשיב את מלוא התשלום (כראוי בנסיבות העניין) מנסה לחזור בה מכך. ההתנהלות אמנם אינה חזות </w:t>
      </w:r>
      <w:proofErr w:type="spellStart"/>
      <w:r w:rsidRPr="00634561">
        <w:rPr>
          <w:rFonts w:ascii="Arial" w:eastAsia="Times New Roman" w:hAnsi="Arial" w:cs="David"/>
          <w:b/>
          <w:bCs/>
          <w:sz w:val="24"/>
          <w:szCs w:val="24"/>
          <w:rtl/>
        </w:rPr>
        <w:t>הכל</w:t>
      </w:r>
      <w:proofErr w:type="spellEnd"/>
      <w:r w:rsidRPr="00634561">
        <w:rPr>
          <w:rFonts w:ascii="Arial" w:eastAsia="Times New Roman" w:hAnsi="Arial" w:cs="David"/>
          <w:b/>
          <w:bCs/>
          <w:sz w:val="24"/>
          <w:szCs w:val="24"/>
          <w:rtl/>
        </w:rPr>
        <w:t xml:space="preserve"> וכפי שהוסבר לצדדים במהלך הדיון, בית המשפט נותן מלוא אמונו במקצועיותה של הגב' </w:t>
      </w:r>
      <w:proofErr w:type="spellStart"/>
      <w:r w:rsidRPr="00634561">
        <w:rPr>
          <w:rFonts w:ascii="Arial" w:eastAsia="Times New Roman" w:hAnsi="Arial" w:cs="David"/>
          <w:b/>
          <w:bCs/>
          <w:sz w:val="24"/>
          <w:szCs w:val="24"/>
          <w:rtl/>
        </w:rPr>
        <w:t>גרשנזון</w:t>
      </w:r>
      <w:proofErr w:type="spellEnd"/>
      <w:r w:rsidRPr="00634561">
        <w:rPr>
          <w:rFonts w:ascii="Arial" w:eastAsia="Times New Roman" w:hAnsi="Arial" w:cs="David"/>
          <w:b/>
          <w:bCs/>
          <w:sz w:val="24"/>
          <w:szCs w:val="24"/>
          <w:rtl/>
        </w:rPr>
        <w:t>, נוכח חוות הדעת שהגישה בהליכים אחרים, אשר במרכזן אך ורק טובת הילדים, ללא כל הטיה זו או אחרת. עם זאת, קיימת משמעות גם לאופן ההתנהלות ובעניין שלפנינו הדבר נעשה באופן שאינו מותאם"</w:t>
      </w:r>
      <w:r w:rsidRPr="00634561">
        <w:rPr>
          <w:rFonts w:ascii="Arial" w:eastAsia="Times New Roman" w:hAnsi="Arial" w:cs="David"/>
          <w:sz w:val="24"/>
          <w:szCs w:val="24"/>
          <w:rtl/>
        </w:rPr>
        <w:t xml:space="preserve">. </w:t>
      </w:r>
    </w:p>
    <w:p w:rsidR="00634561" w:rsidRPr="00634561" w:rsidRDefault="00634561" w:rsidP="00634561">
      <w:pPr>
        <w:spacing w:after="0" w:line="240" w:lineRule="auto"/>
        <w:ind w:left="720"/>
        <w:contextualSpacing/>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המבקש אשר, כאמור, לא השלים עם ההחלטה ועם ההחלטות שקדמו לה, הגיש בקשת רשות לערער עליה.</w:t>
      </w:r>
    </w:p>
    <w:p w:rsidR="00634561" w:rsidRPr="00634561" w:rsidRDefault="00634561" w:rsidP="00634561">
      <w:pPr>
        <w:suppressLineNumbers/>
        <w:spacing w:after="0" w:line="360" w:lineRule="auto"/>
        <w:jc w:val="both"/>
        <w:rPr>
          <w:rFonts w:ascii="Times New Roman" w:eastAsia="Times New Roman" w:hAnsi="Times New Roman" w:cs="David"/>
          <w:b/>
          <w:bCs/>
          <w:noProof/>
          <w:sz w:val="26"/>
          <w:szCs w:val="26"/>
          <w:u w:val="single"/>
          <w:rtl/>
        </w:rPr>
      </w:pPr>
    </w:p>
    <w:p w:rsidR="00634561" w:rsidRPr="00634561" w:rsidRDefault="00634561" w:rsidP="00634561">
      <w:pPr>
        <w:suppressLineNumbers/>
        <w:spacing w:after="0" w:line="360" w:lineRule="auto"/>
        <w:jc w:val="both"/>
        <w:rPr>
          <w:rFonts w:ascii="Times New Roman" w:eastAsia="Times New Roman" w:hAnsi="Times New Roman" w:cs="David"/>
          <w:b/>
          <w:bCs/>
          <w:noProof/>
          <w:sz w:val="26"/>
          <w:szCs w:val="26"/>
          <w:u w:val="single"/>
          <w:rtl/>
        </w:rPr>
      </w:pPr>
      <w:r w:rsidRPr="00634561">
        <w:rPr>
          <w:rFonts w:ascii="Times New Roman" w:eastAsia="Times New Roman" w:hAnsi="Times New Roman" w:cs="David"/>
          <w:b/>
          <w:bCs/>
          <w:noProof/>
          <w:sz w:val="26"/>
          <w:szCs w:val="26"/>
          <w:u w:val="single"/>
          <w:rtl/>
        </w:rPr>
        <w:t>תמצית טענות הצדדים</w:t>
      </w:r>
    </w:p>
    <w:p w:rsidR="00634561" w:rsidRPr="00634561" w:rsidRDefault="00634561" w:rsidP="00634561">
      <w:pPr>
        <w:spacing w:after="0" w:line="240" w:lineRule="auto"/>
        <w:rPr>
          <w:rFonts w:ascii="Times New Roman" w:eastAsia="Times New Roman" w:hAnsi="Times New Roman" w:cs="David"/>
          <w:noProof/>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b/>
          <w:bCs/>
          <w:sz w:val="24"/>
          <w:szCs w:val="24"/>
          <w:u w:val="single"/>
          <w:rtl/>
        </w:rPr>
        <w:t>לטענת המבקש</w:t>
      </w:r>
      <w:r w:rsidRPr="00634561">
        <w:rPr>
          <w:rFonts w:ascii="Arial" w:eastAsia="Times New Roman" w:hAnsi="Arial" w:cs="David"/>
          <w:sz w:val="24"/>
          <w:szCs w:val="24"/>
          <w:rtl/>
        </w:rPr>
        <w:t xml:space="preserve">, בנסיבות המקרה דנא נדרשת התערבות של ערכאת הערעור וקבלת הבקשה,  שעה שקיים חשש ממשי לנזק שיגרם לו, לקטינות וליתר ילדי הצדדים בהינתן הניכור ההורי - נזק שנראה כבלתי הפיך; בית המשפט קמא שגה בכך שלא הביא בחשבון את עמדת האפוטרופוס לדין  ולמעשה בהחלטה שניתנה על ידו התקבלה עמדת המשיבה בלבד שאיבדה האמון במומחית; הן בית המשפט קמא והן הצדדים ידעו כי הליך הבירור ואיסוף המידע ע"י המומחית הסתיימו וממילא לא מוטלת הייתה עליה החובה ליידע את הצדדים בדבר ההליך המשמעתי שהתנהל כנגדה, בפרט שעה שהחשדות כנגדה לא היו מהותיים; בית המשפט שגה עת הטיל עליו האחריות לחלוף הזמן והעיכוב בבירור ההליך; השימוש שעשה בית המשפט בסמכותו, עת הורה על החלפת המומחית בשלב כה מתקדם של ההליך הוא מרחיק לכת ושגוי, תוך הותרתו מול שוקת שבורה בהיבט הכספי, ובכלל; </w:t>
      </w:r>
      <w:r w:rsidRPr="00634561">
        <w:rPr>
          <w:rFonts w:ascii="Arial" w:eastAsia="Times New Roman" w:hAnsi="Arial" w:cs="David"/>
          <w:sz w:val="24"/>
          <w:szCs w:val="24"/>
          <w:rtl/>
        </w:rPr>
        <w:lastRenderedPageBreak/>
        <w:t xml:space="preserve">טובת הילדים מחייבת הימנעות מהליכים אבחוניים שוב ושוב, בפרט נוכח העובדה שחלפה למעלה משנה ממועד המינוי המקורי; המבקש מלין לכל אורך הדרך על עינוי הדין שנגרם לו בהליך בבית המשפט קמא. לפיכך, הוא עותר לביטול ההחלטה נושא הבקשה שלפנינו באופן בו  המומחית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תגיש חוות דעתה בהקדם האפשרי, וההליך בבית המשפט קמא ימשיך להתנהל כסדרו מנקודה זו. </w:t>
      </w:r>
    </w:p>
    <w:p w:rsidR="00634561" w:rsidRPr="00634561" w:rsidRDefault="00634561" w:rsidP="00634561">
      <w:pPr>
        <w:spacing w:after="0" w:line="240" w:lineRule="auto"/>
        <w:ind w:left="720"/>
        <w:contextualSpacing/>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b/>
          <w:bCs/>
          <w:sz w:val="24"/>
          <w:szCs w:val="24"/>
          <w:u w:val="single"/>
          <w:rtl/>
        </w:rPr>
        <w:t>מנגד טוענת המשיבה</w:t>
      </w:r>
      <w:r w:rsidRPr="00634561">
        <w:rPr>
          <w:rFonts w:ascii="Arial" w:eastAsia="Times New Roman" w:hAnsi="Arial" w:cs="David"/>
          <w:sz w:val="24"/>
          <w:szCs w:val="24"/>
          <w:rtl/>
        </w:rPr>
        <w:t xml:space="preserve">, כי יש לדחות הבקשה על הסף, שעה שהבקשה עליה משיג למעשה המבקש היא זו שניתנה ביום 29.01.2023 אשר מועד הערעור עליה חלף; לדידה, ההחלטה נושא הבקשה דנא סדורה ומנומקת וניתנה לאחר פניות רבות של המבקש לשינוי ההחלטה בדבר החלפת המומחית שמונתה ולאחר שניתנו לצדדים הזדמנויות רבות להביא עמדותיהם בפני בית המשפט קמא; אין מקום להורות על השבת מינויה של המומחית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על כנו נוכח התנהלותה כלפי הצדדים במסגרת ההליך בבית המשפט קמא, המלמדת שלא ניתן לסמוך עליה; אין למבקש להלין אלא על עצמו, שעה שלא הסדיר התשלום למומחית החדשה שמונתה סמוך למינוי ובכך, כמו גם בעצם הגשת בקשת רשות  הערעור על ההחלטה עיכב, למעשה, הגשת חוות הדעת; המשיבה מתארת בתשובתה את התנהלות המבקש כלפי הילדים, שהעיבה, לדידה, על הקשר ביניהם לאורך השנים וגם כעת; עוד נטען על ידה, כי המבקש נוקט בפעולות שונות היוצרות סחבת ומשיכת זמן; לדידה, בניגוד לנטען על ידו, יש למבקש היכולת הכלכלית לשאת בתשלום שכר טרחת המומחית; על אף שהובהר על ידה בהזדמנויות שונות כי אינה ששה להעמיד את בתה הקטינה בפני בדיקות נוספות, מתוך השאיפה להגיע לחקר האמת, סבורה היא כי חוות הדעת צריך להינתן ע"י מומחית מהימנה ואמינה; שעה שהתנהלות המומחית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עולה כדי חוסר תום לב, ושעה שבכל הנוגע להתנהלות בבית המשפט קמא, מהימנותה מוטלת בספק רב, יש להותיר ההחלטה על כנה ולדחות הבקשה למתן רשות לערער עליה. </w:t>
      </w:r>
    </w:p>
    <w:p w:rsidR="00634561" w:rsidRPr="00634561" w:rsidRDefault="00634561" w:rsidP="00634561">
      <w:pPr>
        <w:spacing w:after="0" w:line="360" w:lineRule="auto"/>
        <w:ind w:left="720"/>
        <w:contextualSpacing/>
        <w:jc w:val="both"/>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האפוטרופוס לדין הצטרף לעמדת המבקש, ושב על עמדתו באשר הובעה בפני בית המשפט קמא, לפיה אין מקום לביטול המינוי של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ומינוי מומחה אחר תחתיה, היות שהיא השלימה מרבית המלאכה שנדרשה לצורך מתן חוות הדעת ופגשה בכל בני המשפחה וכל שנותר הוא כתיבת חוות הדעת; זאת, בהינתן גם עמדתו לכתחילה לפיה ספק אם יש צורך במינוי מומחה נוכח ההשלכות שיש לכך על נפש הקטינה (ושעה שהמשיבה עצמה התנגדה למינוי מומחה); לשיטתו, מינוי מומחית חדשה תחת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יגרום להארכת ההליכים שלא לצורך וכפועל יוצא מכך, לפגיעה בקטינה.  </w:t>
      </w:r>
    </w:p>
    <w:p w:rsidR="00634561" w:rsidRPr="00634561" w:rsidRDefault="00634561" w:rsidP="00634561">
      <w:pPr>
        <w:spacing w:after="0" w:line="240" w:lineRule="auto"/>
        <w:rPr>
          <w:rFonts w:ascii="Times New Roman" w:eastAsia="Times New Roman" w:hAnsi="Times New Roman" w:cs="David"/>
          <w:noProof/>
          <w:sz w:val="24"/>
          <w:szCs w:val="24"/>
          <w:rtl/>
        </w:rPr>
      </w:pPr>
    </w:p>
    <w:p w:rsidR="00634561" w:rsidRPr="00634561" w:rsidRDefault="00634561" w:rsidP="00634561">
      <w:pPr>
        <w:suppressLineNumbers/>
        <w:spacing w:after="0" w:line="360" w:lineRule="auto"/>
        <w:jc w:val="both"/>
        <w:rPr>
          <w:rFonts w:ascii="Times New Roman" w:eastAsia="Times New Roman" w:hAnsi="Times New Roman" w:cs="David"/>
          <w:b/>
          <w:bCs/>
          <w:noProof/>
          <w:sz w:val="26"/>
          <w:szCs w:val="26"/>
          <w:u w:val="single"/>
        </w:rPr>
      </w:pPr>
      <w:r w:rsidRPr="00634561">
        <w:rPr>
          <w:rFonts w:ascii="Times New Roman" w:eastAsia="Times New Roman" w:hAnsi="Times New Roman" w:cs="David"/>
          <w:b/>
          <w:bCs/>
          <w:noProof/>
          <w:sz w:val="26"/>
          <w:szCs w:val="26"/>
          <w:u w:val="single"/>
          <w:rtl/>
        </w:rPr>
        <w:t>דיון והכרעה</w:t>
      </w: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יצוין, כי בלב הפרשה שלפנינו סוגיה מורכבת, אשר ברובד העובדתי לא בנקל ניתן להכריע בה והיא נסובה סביב השאלה האם אב פגע מינית בבתו הקטינה אם לאו, ובהשלכה שיש להכרעה האמורה על הסדרי הקשר ביניהם. פעמים ניתן להכריע בשאלת הסדרי הקשר בשעה ששאלה זו מרחפת ממעל על יסוד ממצאים בהליך הפלילי, ככל שהתנהל במקביל להליך בבית המשפט לענייני משפחה, ופעמים לא. כך או כך, הליכי הבירור של טענות קשות ממין אלו, ככל שהן נוגעות להסדרי הקשר בין האב והקטינה, מצויים בגזרת שיקול הדעת </w:t>
      </w:r>
      <w:r w:rsidRPr="00634561">
        <w:rPr>
          <w:rFonts w:ascii="Arial" w:eastAsia="Times New Roman" w:hAnsi="Arial" w:cs="David"/>
          <w:sz w:val="24"/>
          <w:szCs w:val="24"/>
          <w:rtl/>
        </w:rPr>
        <w:lastRenderedPageBreak/>
        <w:t xml:space="preserve">של הערכאה הדיונית. לשון אחר: בידי הערכאה הדיונית ארגז כלים הנחוץ לה לביצוע מלאכתה נאמנה </w:t>
      </w:r>
      <w:proofErr w:type="spellStart"/>
      <w:r w:rsidRPr="00634561">
        <w:rPr>
          <w:rFonts w:ascii="Arial" w:eastAsia="Times New Roman" w:hAnsi="Arial" w:cs="David"/>
          <w:sz w:val="24"/>
          <w:szCs w:val="24"/>
          <w:rtl/>
        </w:rPr>
        <w:t>בכגון</w:t>
      </w:r>
      <w:proofErr w:type="spellEnd"/>
      <w:r w:rsidRPr="00634561">
        <w:rPr>
          <w:rFonts w:ascii="Arial" w:eastAsia="Times New Roman" w:hAnsi="Arial" w:cs="David"/>
          <w:sz w:val="24"/>
          <w:szCs w:val="24"/>
          <w:rtl/>
        </w:rPr>
        <w:t xml:space="preserve"> דא, ולה מסור שיקול הדעת בעניין אופן השימוש בו.</w:t>
      </w:r>
    </w:p>
    <w:p w:rsidR="00634561" w:rsidRPr="00634561" w:rsidRDefault="00634561" w:rsidP="00634561">
      <w:pPr>
        <w:spacing w:after="0" w:line="360" w:lineRule="auto"/>
        <w:ind w:left="720"/>
        <w:contextualSpacing/>
        <w:jc w:val="both"/>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 במקרה דנא, אם לא די במורכבות הסוגיה העומדת להכרעה בפני בית המשפט קמא,  נקלעו הצדדים, בעל כורחם, למורכבות נוספת נוכח הליכים משמעתיים אשר ננקטו כנגד המומחית שמונתה ע"י בית המשפט לבחינת הטענות בעניין הפגיעה המינית בקטינה, והשלכותיהם על יחסי הצדדים כלפי המומחית וכלפי תוצרי עבודתה.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על פניו, הליכי המשמעת שננקטו כנגד המומחית אינם נוגעים במישרין למקרה דנא, ובכל זאת מצא בית המשפט קמא להורות על ביטול המינוי שלה ומינוי מומחית אחרת תחתיה כשהנימוק העיקרי עליו נסובה החלטתו הוא, שהתנהלותה כלפי הצדדים יצרה הכבדה על מתן האמון בה, אף שבית המשפט עצמו נותן אמון מלא במקצועיותה.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השאלה היא, האם בנסיבות אלו, לרבות השלב בו מצויה הכנת חוות הדעת של מומחית, משך הנתק בין המבקש והקטינות והטלת הנשיאה בעלויות חוות הדעת של שתי המומחיות על המבקש, יש מקום להתערב בהחלטתו אם לאו.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b/>
          <w:bCs/>
          <w:sz w:val="24"/>
          <w:szCs w:val="24"/>
          <w:rtl/>
        </w:rPr>
        <w:t>לאחר שעיינתי בכל אשר מונח לפניי ובתיק המתנהל בבית המשפט קמא, באתי לכלל מסקנה שאין מקום להתערב בהחלטה, אך כפוף להערות ולהוראות שיובאו להלן.</w:t>
      </w: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כאמור, החלטה על אופן ניהול ההליך, לרבות מינוי מומחה מטעם בית המשפט על כל הכרוך בו, לרבות שינוי זהותו ומתן הוראות בכל הקשור בביצוע מלאכתו, מצויה בלבת שיקול הדעת של הערכאה הדיונית.</w:t>
      </w:r>
    </w:p>
    <w:p w:rsidR="00634561" w:rsidRPr="00634561" w:rsidRDefault="00634561" w:rsidP="00634561">
      <w:pPr>
        <w:spacing w:after="0" w:line="240" w:lineRule="auto"/>
        <w:ind w:left="720"/>
        <w:contextualSpacing/>
        <w:jc w:val="both"/>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החלטת ביניים מעין זו </w:t>
      </w:r>
      <w:r w:rsidRPr="00634561">
        <w:rPr>
          <w:rFonts w:ascii="David" w:eastAsia="Times New Roman" w:hAnsi="David" w:cs="David"/>
          <w:sz w:val="24"/>
          <w:szCs w:val="24"/>
          <w:rtl/>
        </w:rPr>
        <w:t>נושאת אופי דיוני מובהק, נטועה, כאמור, עמוק בגזרת שיקול הדעת של הערכאה הדיונית וכידוע, אין דרכה של ערכאת הערעור להתערב בהחלטות ממין אלו אלא במקרים חריגים בלבד בהם ההחלטה מנוגדת לדין או עלולה לגרום לעיוות דין חמור (ראו למשל: רע"א 1657/23</w:t>
      </w:r>
      <w:r w:rsidRPr="00634561">
        <w:rPr>
          <w:rFonts w:ascii="Arial" w:eastAsia="Times New Roman" w:hAnsi="Arial" w:cs="David"/>
          <w:sz w:val="24"/>
          <w:szCs w:val="24"/>
          <w:rtl/>
        </w:rPr>
        <w:t xml:space="preserve"> </w:t>
      </w:r>
      <w:proofErr w:type="spellStart"/>
      <w:r w:rsidRPr="00634561">
        <w:rPr>
          <w:rFonts w:ascii="David" w:eastAsia="Times New Roman" w:hAnsi="David" w:cs="David"/>
          <w:b/>
          <w:bCs/>
          <w:sz w:val="24"/>
          <w:szCs w:val="24"/>
          <w:rtl/>
        </w:rPr>
        <w:t>קורוצ'קין</w:t>
      </w:r>
      <w:proofErr w:type="spellEnd"/>
      <w:r w:rsidRPr="00634561">
        <w:rPr>
          <w:rFonts w:ascii="David" w:eastAsia="Times New Roman" w:hAnsi="David" w:cs="David"/>
          <w:b/>
          <w:bCs/>
          <w:sz w:val="24"/>
          <w:szCs w:val="24"/>
          <w:rtl/>
        </w:rPr>
        <w:t xml:space="preserve"> נ' המרכז הרפואי ברזילי ואח'</w:t>
      </w:r>
      <w:r w:rsidRPr="00634561">
        <w:rPr>
          <w:rFonts w:ascii="David" w:eastAsia="Times New Roman" w:hAnsi="David" w:cs="David"/>
          <w:sz w:val="24"/>
          <w:szCs w:val="24"/>
          <w:rtl/>
        </w:rPr>
        <w:t xml:space="preserve">, פורסם במאגרים האלקטרוניים; </w:t>
      </w:r>
      <w:r w:rsidRPr="00634561">
        <w:rPr>
          <w:rFonts w:ascii="Arial" w:eastAsia="Times New Roman" w:hAnsi="Arial" w:cs="David"/>
          <w:noProof/>
          <w:sz w:val="24"/>
          <w:szCs w:val="24"/>
          <w:rtl/>
        </w:rPr>
        <w:t xml:space="preserve">בע"מ 1006/16 </w:t>
      </w:r>
      <w:r w:rsidRPr="00634561">
        <w:rPr>
          <w:rFonts w:ascii="Arial" w:eastAsia="Times New Roman" w:hAnsi="Arial" w:cs="David"/>
          <w:b/>
          <w:bCs/>
          <w:noProof/>
          <w:sz w:val="24"/>
          <w:szCs w:val="24"/>
          <w:rtl/>
        </w:rPr>
        <w:t>פלוני נ' פלונית</w:t>
      </w:r>
      <w:r w:rsidRPr="00634561">
        <w:rPr>
          <w:rFonts w:ascii="Arial" w:eastAsia="Times New Roman" w:hAnsi="Arial" w:cs="David"/>
          <w:noProof/>
          <w:sz w:val="24"/>
          <w:szCs w:val="24"/>
          <w:rtl/>
        </w:rPr>
        <w:t xml:space="preserve">, פורסם במאגרים האלקטרוניים).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הגם שנסיבות המקרה דנא מעוררות לבטים, בין היתר אף בשים לב לעמדת האפוטרופוס לדין, המייצג את האינטרסים של הקטינה, לא מצאתי כי הוא נופל לגדר המקרים החריגים שמצדיקים התערבות בהחלטה ע"י ערכאת הערעור. </w:t>
      </w:r>
    </w:p>
    <w:p w:rsidR="00634561" w:rsidRPr="00634561" w:rsidRDefault="00634561" w:rsidP="00634561">
      <w:pPr>
        <w:spacing w:after="0" w:line="240" w:lineRule="auto"/>
        <w:jc w:val="both"/>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ב-רע"א 7863/17 </w:t>
      </w:r>
      <w:r w:rsidRPr="00634561">
        <w:rPr>
          <w:rFonts w:ascii="Arial" w:eastAsia="Times New Roman" w:hAnsi="Arial" w:cs="David"/>
          <w:b/>
          <w:bCs/>
          <w:sz w:val="24"/>
          <w:szCs w:val="24"/>
          <w:rtl/>
        </w:rPr>
        <w:t xml:space="preserve">פלונית  נ' הפול חברה לביטוח בע"מ </w:t>
      </w:r>
      <w:r w:rsidRPr="00634561">
        <w:rPr>
          <w:rFonts w:ascii="Arial" w:eastAsia="Times New Roman" w:hAnsi="Arial" w:cs="David"/>
          <w:sz w:val="24"/>
          <w:szCs w:val="24"/>
          <w:rtl/>
        </w:rPr>
        <w:t>(פורסם במאגרים האלקטרוניים)</w:t>
      </w:r>
      <w:r w:rsidRPr="00634561">
        <w:rPr>
          <w:rFonts w:ascii="Arial" w:eastAsia="Times New Roman" w:hAnsi="Arial" w:cs="David"/>
          <w:b/>
          <w:bCs/>
          <w:sz w:val="24"/>
          <w:szCs w:val="24"/>
          <w:rtl/>
        </w:rPr>
        <w:t xml:space="preserve">, </w:t>
      </w:r>
      <w:r w:rsidRPr="00634561">
        <w:rPr>
          <w:rFonts w:ascii="Arial" w:eastAsia="Times New Roman" w:hAnsi="Arial" w:cs="David"/>
          <w:sz w:val="24"/>
          <w:szCs w:val="24"/>
          <w:rtl/>
        </w:rPr>
        <w:t xml:space="preserve">נקבע ע"י בית המשפט העליון לאמור: </w:t>
      </w:r>
    </w:p>
    <w:p w:rsidR="00634561" w:rsidRPr="00634561" w:rsidRDefault="00634561" w:rsidP="00634561">
      <w:pPr>
        <w:spacing w:after="0" w:line="240" w:lineRule="auto"/>
        <w:ind w:left="720"/>
        <w:contextualSpacing/>
        <w:jc w:val="both"/>
        <w:rPr>
          <w:rFonts w:ascii="Arial" w:eastAsia="Times New Roman" w:hAnsi="Arial" w:cs="David"/>
          <w:b/>
          <w:bCs/>
          <w:sz w:val="24"/>
          <w:szCs w:val="24"/>
        </w:rPr>
      </w:pPr>
    </w:p>
    <w:p w:rsidR="00634561" w:rsidRPr="00634561" w:rsidRDefault="00634561" w:rsidP="00634561">
      <w:pPr>
        <w:spacing w:after="0" w:line="360" w:lineRule="auto"/>
        <w:ind w:left="720"/>
        <w:contextualSpacing/>
        <w:jc w:val="both"/>
        <w:rPr>
          <w:rFonts w:ascii="Arial" w:eastAsia="Times New Roman" w:hAnsi="Arial" w:cs="David"/>
          <w:b/>
          <w:bCs/>
          <w:sz w:val="24"/>
          <w:szCs w:val="24"/>
          <w:rtl/>
        </w:rPr>
      </w:pPr>
      <w:r w:rsidRPr="00634561">
        <w:rPr>
          <w:rFonts w:ascii="Arial" w:eastAsia="Times New Roman" w:hAnsi="Arial" w:cs="David"/>
          <w:b/>
          <w:bCs/>
          <w:sz w:val="24"/>
          <w:szCs w:val="24"/>
          <w:rtl/>
        </w:rPr>
        <w:t xml:space="preserve">"אמנם אין המשמעות שלעד תמנע ערכאת הערעור מלהתערב בהחלטת הערכאה הדיונית למנות מומחה נוסף, אך ברי כי התערבות כזו תהא רק במקרים מיוחדים בהם ההחלטה אינה מתיישבת עם חומר הראיות או עם שורת הצדק והגיונם של הדברים...הלכה </w:t>
      </w:r>
      <w:r w:rsidRPr="00634561">
        <w:rPr>
          <w:rFonts w:ascii="Arial" w:eastAsia="Times New Roman" w:hAnsi="Arial" w:cs="David"/>
          <w:b/>
          <w:bCs/>
          <w:sz w:val="24"/>
          <w:szCs w:val="24"/>
          <w:rtl/>
        </w:rPr>
        <w:lastRenderedPageBreak/>
        <w:t>מושרשת היא כי אין ערכאת הערעור נוהגת להתערב בהחלטות ביניים של הערכאה הדיונית הנוגדות לסדרי דין... ובכלל זה בעניינים הקשורים למינוי מומחים...".</w:t>
      </w:r>
    </w:p>
    <w:p w:rsidR="00634561" w:rsidRPr="00634561" w:rsidRDefault="00634561" w:rsidP="00634561">
      <w:pPr>
        <w:spacing w:after="0" w:line="240" w:lineRule="auto"/>
        <w:jc w:val="both"/>
        <w:rPr>
          <w:rFonts w:ascii="Arial" w:eastAsia="Times New Roman" w:hAnsi="Arial" w:cs="David"/>
          <w:b/>
          <w:bCs/>
          <w:sz w:val="24"/>
          <w:szCs w:val="24"/>
          <w:rtl/>
        </w:rPr>
      </w:pPr>
    </w:p>
    <w:p w:rsidR="00634561" w:rsidRPr="00634561" w:rsidRDefault="00634561" w:rsidP="00634561">
      <w:pPr>
        <w:spacing w:after="0" w:line="360" w:lineRule="auto"/>
        <w:ind w:left="720"/>
        <w:jc w:val="both"/>
        <w:rPr>
          <w:rFonts w:ascii="Arial" w:eastAsia="Times New Roman" w:hAnsi="Arial" w:cs="David"/>
          <w:sz w:val="24"/>
          <w:szCs w:val="24"/>
          <w:rtl/>
        </w:rPr>
      </w:pPr>
      <w:r w:rsidRPr="00634561">
        <w:rPr>
          <w:rFonts w:ascii="Arial" w:eastAsia="Times New Roman" w:hAnsi="Arial" w:cs="David"/>
          <w:sz w:val="24"/>
          <w:szCs w:val="24"/>
          <w:rtl/>
        </w:rPr>
        <w:t>גם בית המשפט המחוזי בת"א (כב' השופט שוחט) נדרש לכך ב-</w:t>
      </w:r>
      <w:proofErr w:type="spellStart"/>
      <w:r w:rsidRPr="00634561">
        <w:rPr>
          <w:rFonts w:ascii="Arial" w:eastAsia="Times New Roman" w:hAnsi="Arial" w:cs="David"/>
          <w:sz w:val="24"/>
          <w:szCs w:val="24"/>
          <w:rtl/>
        </w:rPr>
        <w:t>רמ"ש</w:t>
      </w:r>
      <w:proofErr w:type="spellEnd"/>
      <w:r w:rsidRPr="00634561">
        <w:rPr>
          <w:rFonts w:ascii="Arial" w:eastAsia="Times New Roman" w:hAnsi="Arial" w:cs="David"/>
          <w:sz w:val="24"/>
          <w:szCs w:val="24"/>
          <w:rtl/>
        </w:rPr>
        <w:t xml:space="preserve"> 22594-08-17 </w:t>
      </w:r>
      <w:r w:rsidRPr="00634561">
        <w:rPr>
          <w:rFonts w:ascii="Arial" w:eastAsia="Times New Roman" w:hAnsi="Arial" w:cs="David"/>
          <w:b/>
          <w:bCs/>
          <w:sz w:val="24"/>
          <w:szCs w:val="24"/>
          <w:rtl/>
        </w:rPr>
        <w:t xml:space="preserve">א.נ. נ' </w:t>
      </w:r>
      <w:proofErr w:type="spellStart"/>
      <w:r w:rsidRPr="00634561">
        <w:rPr>
          <w:rFonts w:ascii="Arial" w:eastAsia="Times New Roman" w:hAnsi="Arial" w:cs="David"/>
          <w:b/>
          <w:bCs/>
          <w:sz w:val="24"/>
          <w:szCs w:val="24"/>
          <w:rtl/>
        </w:rPr>
        <w:t>ר.ב</w:t>
      </w:r>
      <w:proofErr w:type="spellEnd"/>
      <w:r w:rsidRPr="00634561">
        <w:rPr>
          <w:rFonts w:ascii="Arial" w:eastAsia="Times New Roman" w:hAnsi="Arial" w:cs="David"/>
          <w:b/>
          <w:bCs/>
          <w:sz w:val="24"/>
          <w:szCs w:val="24"/>
          <w:rtl/>
        </w:rPr>
        <w:t xml:space="preserve">. </w:t>
      </w:r>
      <w:r w:rsidRPr="00634561">
        <w:rPr>
          <w:rFonts w:ascii="Times New Roman" w:eastAsia="Times New Roman" w:hAnsi="Times New Roman" w:cs="David"/>
          <w:szCs w:val="24"/>
          <w:rtl/>
        </w:rPr>
        <w:t>(פורסם במאגרים האלקטרוניים), וכך נקבע על ידו</w:t>
      </w:r>
      <w:r w:rsidRPr="00634561">
        <w:rPr>
          <w:rFonts w:ascii="Arial" w:eastAsia="Times New Roman" w:hAnsi="Arial" w:cs="David"/>
          <w:sz w:val="24"/>
          <w:szCs w:val="24"/>
          <w:rtl/>
        </w:rPr>
        <w:t xml:space="preserve">: </w:t>
      </w:r>
    </w:p>
    <w:p w:rsidR="00634561" w:rsidRPr="00634561" w:rsidRDefault="00634561" w:rsidP="00634561">
      <w:pPr>
        <w:spacing w:after="0" w:line="360" w:lineRule="auto"/>
        <w:ind w:left="720" w:hanging="720"/>
        <w:jc w:val="both"/>
        <w:rPr>
          <w:rFonts w:ascii="Arial" w:eastAsia="Times New Roman" w:hAnsi="Arial" w:cs="David"/>
          <w:sz w:val="24"/>
          <w:szCs w:val="24"/>
          <w:rtl/>
        </w:rPr>
      </w:pPr>
      <w:r w:rsidRPr="00634561">
        <w:rPr>
          <w:rFonts w:ascii="Arial" w:eastAsia="Times New Roman" w:hAnsi="Arial" w:cs="David"/>
          <w:b/>
          <w:bCs/>
          <w:sz w:val="24"/>
          <w:szCs w:val="24"/>
          <w:rtl/>
        </w:rPr>
        <w:tab/>
        <w:t xml:space="preserve">"החלטת בית המשפט קמא הדוחה בקשת המבקשת לפסילת המומחה שמונה ומינוי מומחה אחר תחתיו, הינה קודם כל החלטה שבסדרי דין ובדרך ניהול ההליך בה בחר בית המשפט קמא לנקוט. הלכה היא, כי אין ערכאת הערעור נוטה להתערב בהחלטותיה של הערכאה הדיונית שעניינן סדרי דין וניהול הליכים, אפילו סבורה היא שראוי היה להחליט על דרך דיונית אחרת, אלא אם ההחלטה נוגדת את הדין, יוצרת עיוות דין או מקפחת את זכותו של אחד הצדדים". </w:t>
      </w:r>
    </w:p>
    <w:p w:rsidR="00634561" w:rsidRPr="00634561" w:rsidRDefault="00634561" w:rsidP="00634561">
      <w:pPr>
        <w:spacing w:after="0" w:line="360" w:lineRule="auto"/>
        <w:ind w:left="720" w:hanging="720"/>
        <w:jc w:val="both"/>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מבלי להביע עמדה בעניין הליכי המשמעת שננקטו כנגד המומחית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ומבלי להטיל דופי במקצועיותה או ביושרה המקצועי, משבית המשפט קמא מצא, על רקע השתלשלות העניינים, לאחר קיום דיון בפניו בעניין קונקרטי זה והיכרותו עם הקונפליקט המשפחתי ועם הצדדים (משהוא מלווה את המשפחה משך שנים הרבה), כי אמון הצדדים בה עלול להיפגע, לא מצאתי להתערב בקביעה זו.</w:t>
      </w:r>
    </w:p>
    <w:p w:rsidR="00634561" w:rsidRPr="00634561" w:rsidRDefault="00634561" w:rsidP="00634561">
      <w:pPr>
        <w:spacing w:after="0" w:line="360" w:lineRule="auto"/>
        <w:ind w:left="720"/>
        <w:contextualSpacing/>
        <w:jc w:val="both"/>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אכן וכפי שטוען האפוטרופוס לדין ובצדק, אין הגשת חוות הדעת בבחינת סוף פסוק, ובהתאם להוראות הדין, נתונה לצדדים הזכות להפנות למומחית שאלות הבהרה ואף לזמנה לעדות בפני בית המשפט.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spacing w:before="120" w:after="0" w:line="360" w:lineRule="auto"/>
        <w:ind w:left="720"/>
        <w:contextualSpacing/>
        <w:jc w:val="both"/>
        <w:rPr>
          <w:rFonts w:ascii="Arial" w:eastAsia="Times New Roman" w:hAnsi="Arial" w:cs="David"/>
          <w:sz w:val="24"/>
          <w:szCs w:val="24"/>
          <w:rtl/>
        </w:rPr>
      </w:pPr>
      <w:r w:rsidRPr="00634561">
        <w:rPr>
          <w:rFonts w:ascii="Arial" w:eastAsia="Times New Roman" w:hAnsi="Arial" w:cs="David"/>
          <w:sz w:val="24"/>
          <w:szCs w:val="24"/>
          <w:rtl/>
        </w:rPr>
        <w:t>יתר על כן, כידוע בית המשפט אינו בבחינת "חותמת גומי", וחוות דעת של מומחה מטעמו אינה אלא כלי עזר ואמצעי נוסף העומד לרשותו לצורך הכרעה במחלוקת הניצבת לפניו, עת הסמכות להכריע בה נתונה לעולם לו בלבד.</w:t>
      </w:r>
    </w:p>
    <w:p w:rsidR="00634561" w:rsidRPr="00634561" w:rsidRDefault="00634561" w:rsidP="00634561">
      <w:pPr>
        <w:spacing w:before="120" w:after="0" w:line="360" w:lineRule="auto"/>
        <w:ind w:left="720"/>
        <w:contextualSpacing/>
        <w:jc w:val="both"/>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ברם, במה הועילו חכמים בתקנתם? ככל שאכן ישנו כרסום של ממש באמונם של הצדדים או מי מהם במומחית, הרי שסביר, כי ייעשה שימוש באמצעים הללו (שאלות הבהרה וזימון המומחית לחקירה על חוות הדעת) – דבר שישמוט הקרקע תחת החתירה לייעול הליכי הבירור בשאלת הפגיעה המינית ומיצויים. הותרה בחלל האוויר של טענות הצדדים או מי מהם כנגד התנהלות המומחית ומהימנותה, מבלי להביע, כמובן, עמדה בעניין, עלולה לפגוע, אפוא, גם ביעילות ההליך ולגרום להתארכות נוספת שלו, שהרי סביר כי מי מהם שלא יהא שבע רצון ממצאי חוות הדעת ישלוף הטענות הללו ויבקש לקעקע באמצעותן את תוקפה.</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כידוע, הצדק צריך גם להיראות ולא רק להיעשות, ובית המשפט מצא, כי בהינתן הספק המרחף מעל פני מינוי הגב'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מוטב להסירו בדרך של מינוי מומחית חדשה.</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lastRenderedPageBreak/>
        <w:t>ניתן כמובן, להבין ללב המבקש, שההליך בעניין חידוש הקשר עם בנותיו הקטינות נמשך כבר זמן רב וטרם ניתנה בו הכרעה, ברם יש לזכור כי עסקינן בדיני נפשות,  וכי על הכף טובת הקטינה וגם אם הוא חש שנגרם לו עוול ועינוי דין ומכחיש מכל וכל טענות הקטינה, הרי שנדרש בירור מעמיק שלהן.</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spacing w:after="0" w:line="360" w:lineRule="auto"/>
        <w:ind w:left="720"/>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ודוק, מעיון בתיק המתנהל בפני בית המשפט קמא נראה, כי קודם למינוי המומחית (ביום 12.05.2022) לא הייתה כל התקדמות בבחינת הטענה בדבר הפגיעה המינית, ובמובן זה והשהיית המפגשים בין המבקש והקטינות, ההליך דרך במקום.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כזכור, כבר ביום 12.05.2022 הוחלט ע"י בית המשפט קמא, חרף התנגדות המשיבה, על מינוי המומחית, ומכאן החל המסע לבירור טענות הבת ..., נערה כבת 17 שנים כיום, המתנגדת לקשר עם אביה- המבקש בעניין פגיעה מינית שלו בה בעבר. בהינתן השתלשלות העניינים וכלל הנסיבות, רשאי היה בית המשפט גם להורות על ביטול מינויה של המומחית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ולא למנות מומחה אחר תחתיה, אך כידוע הוא מצא לנכון לקבוע אחרת, ככל הנראה לשם מציאת פתרון מיטבי לחידוש הקשר בין הקטינה והאב, וזאת, כאמור, במסגרת שיקול הדעת המסור בידו.   </w:t>
      </w:r>
    </w:p>
    <w:p w:rsidR="00634561" w:rsidRPr="00634561" w:rsidRDefault="00634561" w:rsidP="00634561">
      <w:pPr>
        <w:spacing w:after="0" w:line="360" w:lineRule="auto"/>
        <w:ind w:left="720"/>
        <w:contextualSpacing/>
        <w:jc w:val="both"/>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יוער, כי לא מצאתי לקבל טענות המבקש לפיהן העיכוב שנוצר מחמת השינוי בזהות המומחית עלול לגרום לנזק בלתי הפיך ביחסיו עם ילדיו. תולדות המשפחה שלפנינו מלמדות אחרת, ואף שממד הזמן בחיי קטינים שונה מזה שבחיי המבוגרים, לא ניתן להתעלם מגילן של הקטינות שלפנינו, שאינן רכות בשנים, כי אם נערות מתבגרות ויחסיהן עם המבקש ידעו נתק ממושך עוד קודם להליך המתנהל בבית המשפט קמא.      </w:t>
      </w:r>
    </w:p>
    <w:p w:rsidR="00634561" w:rsidRPr="00634561" w:rsidRDefault="00634561" w:rsidP="00634561">
      <w:pPr>
        <w:spacing w:after="0" w:line="240" w:lineRule="auto"/>
        <w:ind w:left="720"/>
        <w:contextualSpacing/>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 xml:space="preserve">לצד כל זאת ובכל הנוגע לנשיאה בעלות שכרן של המומחיות, לא נעלם מעיניי כמובן, כי המבקש הסכים בשעתו לשאת במלוא שכרה של המומחית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ככל שהיה זה התנאי למינויה. סבורני, כי הטלת מלוא עלות שכרה של המומחית שמונתה תחתיה כל כתפיו בנסיבות שנוצרו בלא מתן הוראות מתאימות מולידה תוצאה שהיא בלתי הוגנת כלפיו.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 xml:space="preserve">משכך, מצאתי לקבוע, בהתאם לסמכותי מכוח תקנה 138(א)(5) ותקנה 146(א)(1) ו-(5) לתקנות סדר הדין האזרחי, תשע"ט-2018 כי על בית המשפט קמא להורות למומחית גב' </w:t>
      </w:r>
      <w:proofErr w:type="spellStart"/>
      <w:r w:rsidRPr="00634561">
        <w:rPr>
          <w:rFonts w:ascii="Arial" w:eastAsia="Times New Roman" w:hAnsi="Arial" w:cs="David"/>
          <w:sz w:val="24"/>
          <w:szCs w:val="24"/>
          <w:rtl/>
        </w:rPr>
        <w:t>גרשנזון</w:t>
      </w:r>
      <w:proofErr w:type="spellEnd"/>
      <w:r w:rsidRPr="00634561">
        <w:rPr>
          <w:rFonts w:ascii="Arial" w:eastAsia="Times New Roman" w:hAnsi="Arial" w:cs="David"/>
          <w:sz w:val="24"/>
          <w:szCs w:val="24"/>
          <w:rtl/>
        </w:rPr>
        <w:t xml:space="preserve"> להשיב בשלב זה את הסכום שהיא מסכימה להשיב לידי המבקש תוך פרק הזמן שיקבע על ידו ותוך הותרת פתח להתדיינות בעניין החזר היתרה; הסכום שיושב יועבר לידי המומחית שמונתה תחתיה והמבקש </w:t>
      </w:r>
      <w:proofErr w:type="spellStart"/>
      <w:r w:rsidRPr="00634561">
        <w:rPr>
          <w:rFonts w:ascii="Arial" w:eastAsia="Times New Roman" w:hAnsi="Arial" w:cs="David"/>
          <w:sz w:val="24"/>
          <w:szCs w:val="24"/>
          <w:rtl/>
        </w:rPr>
        <w:t>ישא</w:t>
      </w:r>
      <w:proofErr w:type="spellEnd"/>
      <w:r w:rsidRPr="00634561">
        <w:rPr>
          <w:rFonts w:ascii="Arial" w:eastAsia="Times New Roman" w:hAnsi="Arial" w:cs="David"/>
          <w:sz w:val="24"/>
          <w:szCs w:val="24"/>
          <w:rtl/>
        </w:rPr>
        <w:t xml:space="preserve"> ביתרה (בהתאם לסכומים שצוינו בפני בית המשפט קמא) תוך פרק הזמן שיקבע; בתום ההליך ישוב ויידרש בית המשפט קמא לסוגיית הנשיאה בעלות חוות הדעת ובהתאם לשיקול דעתו יקבע האם על המשיבה להשתתף בנשיאה בעלותה אם לאו, לרבות שיעור ההשתתפות בה. </w:t>
      </w:r>
    </w:p>
    <w:p w:rsidR="00634561" w:rsidRPr="00634561" w:rsidRDefault="00634561" w:rsidP="00634561">
      <w:pPr>
        <w:spacing w:after="0" w:line="240" w:lineRule="auto"/>
        <w:ind w:left="720"/>
        <w:contextualSpacing/>
        <w:rPr>
          <w:rFonts w:ascii="Arial" w:eastAsia="Times New Roman" w:hAnsi="Arial" w:cs="David"/>
          <w:sz w:val="24"/>
          <w:szCs w:val="24"/>
          <w:rtl/>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על יסוד כל האמור לעיל ובכפוף להוראות בסעיף 35 דלעיל, בקשת רשות הערעור נדחית.</w:t>
      </w:r>
    </w:p>
    <w:p w:rsidR="00634561" w:rsidRPr="00634561" w:rsidRDefault="00634561" w:rsidP="00634561">
      <w:pPr>
        <w:spacing w:after="0" w:line="240" w:lineRule="auto"/>
        <w:jc w:val="both"/>
        <w:rPr>
          <w:rFonts w:ascii="Arial" w:eastAsia="Times New Roman" w:hAnsi="Arial" w:cs="David"/>
          <w:sz w:val="24"/>
          <w:szCs w:val="24"/>
          <w:rtl/>
        </w:rPr>
      </w:pPr>
      <w:r w:rsidRPr="00634561">
        <w:rPr>
          <w:rFonts w:ascii="Arial" w:eastAsia="Times New Roman" w:hAnsi="Arial" w:cs="David"/>
          <w:sz w:val="24"/>
          <w:szCs w:val="24"/>
          <w:rtl/>
        </w:rPr>
        <w:t xml:space="preserve"> </w:t>
      </w: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lastRenderedPageBreak/>
        <w:t xml:space="preserve">בשים לב לתוצאה אליה הגעתי, איני עושה צו להוצאות וכל צד יישא בהוצאותיו. העירבון שהופקד ע"י המבקש על פירותיו יוחזר לידיו.  </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Pr>
      </w:pPr>
      <w:r w:rsidRPr="00634561">
        <w:rPr>
          <w:rFonts w:ascii="Arial" w:eastAsia="Times New Roman" w:hAnsi="Arial" w:cs="David"/>
          <w:sz w:val="24"/>
          <w:szCs w:val="24"/>
          <w:rtl/>
        </w:rPr>
        <w:t>המזכירות תסגור התיק ותמציא ההחלטה לצדדים.</w:t>
      </w:r>
    </w:p>
    <w:p w:rsidR="00634561" w:rsidRPr="00634561" w:rsidRDefault="00634561" w:rsidP="00634561">
      <w:pPr>
        <w:spacing w:after="0" w:line="240" w:lineRule="auto"/>
        <w:ind w:left="720"/>
        <w:contextualSpacing/>
        <w:rPr>
          <w:rFonts w:ascii="Arial" w:eastAsia="Times New Roman" w:hAnsi="Arial" w:cs="David"/>
          <w:sz w:val="24"/>
          <w:szCs w:val="24"/>
        </w:rPr>
      </w:pPr>
    </w:p>
    <w:p w:rsidR="00634561" w:rsidRPr="00634561" w:rsidRDefault="00634561" w:rsidP="00634561">
      <w:pPr>
        <w:numPr>
          <w:ilvl w:val="0"/>
          <w:numId w:val="1"/>
        </w:numPr>
        <w:spacing w:after="0" w:line="360" w:lineRule="auto"/>
        <w:contextualSpacing/>
        <w:jc w:val="both"/>
        <w:rPr>
          <w:rFonts w:ascii="Arial" w:eastAsia="Times New Roman" w:hAnsi="Arial" w:cs="David"/>
          <w:sz w:val="24"/>
          <w:szCs w:val="24"/>
          <w:rtl/>
        </w:rPr>
      </w:pPr>
      <w:r w:rsidRPr="00634561">
        <w:rPr>
          <w:rFonts w:ascii="Arial" w:eastAsia="Times New Roman" w:hAnsi="Arial" w:cs="David"/>
          <w:sz w:val="24"/>
          <w:szCs w:val="24"/>
          <w:rtl/>
        </w:rPr>
        <w:t>ההחלטה ניתנת לפרסום תוך השמטת שמות הצדדים ופרטים מזהים אחרים.</w:t>
      </w:r>
    </w:p>
    <w:p w:rsidR="00634561" w:rsidRPr="00634561" w:rsidRDefault="00634561" w:rsidP="00634561">
      <w:pPr>
        <w:spacing w:after="0" w:line="360" w:lineRule="auto"/>
        <w:jc w:val="both"/>
        <w:rPr>
          <w:rFonts w:ascii="Arial" w:eastAsia="Times New Roman" w:hAnsi="Arial" w:cs="David"/>
          <w:sz w:val="24"/>
          <w:szCs w:val="24"/>
        </w:rPr>
      </w:pPr>
    </w:p>
    <w:p w:rsidR="00634561" w:rsidRPr="00634561" w:rsidRDefault="00634561" w:rsidP="00634561">
      <w:pPr>
        <w:spacing w:after="0" w:line="360" w:lineRule="auto"/>
        <w:jc w:val="both"/>
        <w:rPr>
          <w:rFonts w:ascii="Arial" w:eastAsia="Times New Roman" w:hAnsi="Arial" w:cs="David"/>
          <w:sz w:val="24"/>
          <w:szCs w:val="24"/>
          <w:rtl/>
        </w:rPr>
      </w:pPr>
    </w:p>
    <w:p w:rsidR="00634561" w:rsidRPr="00634561" w:rsidRDefault="00634561" w:rsidP="00634561">
      <w:pPr>
        <w:spacing w:after="0" w:line="360" w:lineRule="auto"/>
        <w:jc w:val="both"/>
        <w:rPr>
          <w:rFonts w:ascii="Arial" w:eastAsia="Times New Roman" w:hAnsi="Arial" w:cs="David"/>
          <w:sz w:val="24"/>
          <w:szCs w:val="24"/>
          <w:rtl/>
        </w:rPr>
      </w:pPr>
    </w:p>
    <w:p w:rsidR="00634561" w:rsidRPr="00634561" w:rsidRDefault="00634561" w:rsidP="00634561">
      <w:pPr>
        <w:spacing w:after="0" w:line="360" w:lineRule="auto"/>
        <w:jc w:val="both"/>
        <w:rPr>
          <w:rFonts w:ascii="Arial" w:eastAsia="Times New Roman" w:hAnsi="Arial" w:cs="David"/>
          <w:sz w:val="24"/>
          <w:szCs w:val="24"/>
          <w:rtl/>
        </w:rPr>
      </w:pPr>
      <w:r w:rsidRPr="00634561">
        <w:rPr>
          <w:rFonts w:ascii="Arial" w:eastAsia="Times New Roman" w:hAnsi="Arial" w:cs="David"/>
          <w:sz w:val="24"/>
          <w:szCs w:val="24"/>
          <w:rtl/>
        </w:rPr>
        <w:t xml:space="preserve">ניתנה היום, </w:t>
      </w:r>
      <w:sdt>
        <w:sdtPr>
          <w:rPr>
            <w:rFonts w:ascii="Times New Roman" w:eastAsia="Times New Roman" w:hAnsi="Times New Roman" w:cs="David"/>
            <w:noProof/>
            <w:sz w:val="24"/>
            <w:szCs w:val="24"/>
            <w:rtl/>
          </w:rPr>
          <w:alias w:val="1455"/>
          <w:tag w:val="1455"/>
          <w:id w:val="1666048407"/>
          <w:text w:multiLine="1"/>
        </w:sdtPr>
        <w:sdtEndPr/>
        <w:sdtContent>
          <w:r w:rsidRPr="00634561">
            <w:rPr>
              <w:rFonts w:ascii="Times New Roman" w:eastAsia="Times New Roman" w:hAnsi="Times New Roman" w:cs="David"/>
              <w:noProof/>
              <w:sz w:val="24"/>
              <w:szCs w:val="24"/>
              <w:rtl/>
            </w:rPr>
            <w:t>י"ב אב תשפ"ג</w:t>
          </w:r>
        </w:sdtContent>
      </w:sdt>
      <w:r w:rsidRPr="00634561">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86288958"/>
          <w:text w:multiLine="1"/>
        </w:sdtPr>
        <w:sdtEndPr/>
        <w:sdtContent>
          <w:r w:rsidRPr="00634561">
            <w:rPr>
              <w:rFonts w:ascii="Times New Roman" w:eastAsia="Times New Roman" w:hAnsi="Times New Roman" w:cs="David"/>
              <w:noProof/>
              <w:sz w:val="24"/>
              <w:szCs w:val="24"/>
              <w:rtl/>
            </w:rPr>
            <w:t>30 יולי 2023</w:t>
          </w:r>
        </w:sdtContent>
      </w:sdt>
      <w:r w:rsidRPr="00634561">
        <w:rPr>
          <w:rFonts w:ascii="Arial" w:eastAsia="Times New Roman" w:hAnsi="Arial" w:cs="David"/>
          <w:sz w:val="24"/>
          <w:szCs w:val="24"/>
          <w:rtl/>
        </w:rPr>
        <w:t>, בהעדר הצדדים.</w:t>
      </w:r>
    </w:p>
    <w:p w:rsidR="00634561" w:rsidRPr="00634561" w:rsidRDefault="00F64126" w:rsidP="00634561">
      <w:pPr>
        <w:tabs>
          <w:tab w:val="left" w:pos="2553"/>
        </w:tabs>
        <w:spacing w:after="0" w:line="240" w:lineRule="auto"/>
        <w:ind w:left="5040"/>
        <w:rPr>
          <w:rFonts w:ascii="Times New Roman" w:eastAsia="Times New Roman" w:hAnsi="Times New Roman" w:cs="David"/>
          <w:noProof/>
          <w:sz w:val="24"/>
          <w:szCs w:val="24"/>
          <w:rtl/>
        </w:rPr>
      </w:pPr>
      <w:sdt>
        <w:sdtPr>
          <w:rPr>
            <w:rFonts w:ascii="Times New Roman" w:eastAsia="Times New Roman" w:hAnsi="Times New Roman" w:cs="David"/>
            <w:noProof/>
            <w:sz w:val="24"/>
            <w:szCs w:val="24"/>
            <w:rtl/>
          </w:rPr>
          <w:alias w:val="2045"/>
          <w:tag w:val="2045"/>
          <w:id w:val="740689340"/>
          <w:placeholder>
            <w:docPart w:val="5460745126FE4D94BA87CD9B7EA481E2"/>
          </w:placeholder>
          <w:showingPlcHdr/>
          <w:text w:multiLine="1"/>
        </w:sdtPr>
        <w:sdtEndPr/>
        <w:sdtContent>
          <w:r w:rsidR="00634561" w:rsidRPr="00634561">
            <w:rPr>
              <w:rFonts w:ascii="Times New Roman" w:eastAsia="Times New Roman" w:hAnsi="Times New Roman" w:cs="David"/>
              <w:noProof/>
              <w:sz w:val="24"/>
              <w:szCs w:val="24"/>
              <w:rtl/>
            </w:rPr>
            <w:t xml:space="preserve">     </w:t>
          </w:r>
        </w:sdtContent>
      </w:sdt>
    </w:p>
    <w:p w:rsidR="00634561" w:rsidRPr="00634561" w:rsidRDefault="00634561" w:rsidP="00634561">
      <w:pPr>
        <w:tabs>
          <w:tab w:val="left" w:pos="2553"/>
        </w:tabs>
        <w:spacing w:after="0" w:line="240" w:lineRule="auto"/>
        <w:rPr>
          <w:rFonts w:ascii="Times New Roman" w:eastAsia="Times New Roman" w:hAnsi="Times New Roman" w:cs="David"/>
          <w:noProof/>
          <w:sz w:val="24"/>
          <w:szCs w:val="24"/>
          <w:rtl/>
        </w:rPr>
      </w:pPr>
      <w:r w:rsidRPr="00634561">
        <w:rPr>
          <w:rFonts w:ascii="Times New Roman" w:eastAsia="Times New Roman" w:hAnsi="Times New Roman" w:cs="David"/>
          <w:noProof/>
          <w:sz w:val="24"/>
          <w:szCs w:val="24"/>
          <w:rtl/>
        </w:rPr>
        <w:tab/>
      </w:r>
      <w:r w:rsidRPr="00634561">
        <w:rPr>
          <w:rFonts w:ascii="Times New Roman" w:eastAsia="Times New Roman" w:hAnsi="Times New Roman" w:cs="David"/>
          <w:noProof/>
          <w:sz w:val="24"/>
          <w:szCs w:val="24"/>
          <w:rtl/>
        </w:rPr>
        <w:tab/>
      </w:r>
      <w:r w:rsidRPr="00634561">
        <w:rPr>
          <w:rFonts w:ascii="Times New Roman" w:eastAsia="Times New Roman" w:hAnsi="Times New Roman" w:cs="David"/>
          <w:noProof/>
          <w:sz w:val="24"/>
          <w:szCs w:val="24"/>
          <w:rtl/>
        </w:rPr>
        <w:tab/>
      </w:r>
      <w:r w:rsidRPr="00634561">
        <w:rPr>
          <w:rFonts w:ascii="Times New Roman" w:eastAsia="Times New Roman" w:hAnsi="Times New Roman" w:cs="David"/>
          <w:noProof/>
          <w:sz w:val="24"/>
          <w:szCs w:val="24"/>
          <w:rtl/>
        </w:rPr>
        <w:tab/>
        <w:t xml:space="preserve">        </w:t>
      </w:r>
      <w:sdt>
        <w:sdtPr>
          <w:rPr>
            <w:rFonts w:ascii="Times New Roman" w:eastAsia="Times New Roman" w:hAnsi="Times New Roman" w:cs="David"/>
            <w:noProof/>
            <w:sz w:val="24"/>
            <w:szCs w:val="24"/>
            <w:rtl/>
          </w:rPr>
          <w:alias w:val="MergeField"/>
          <w:tag w:val="1237"/>
          <w:id w:val="-468285302"/>
        </w:sdtPr>
        <w:sdtEndPr/>
        <w:sdtContent>
          <w:r w:rsidRPr="00634561">
            <w:rPr>
              <w:rFonts w:ascii="Times New Roman" w:eastAsia="Times New Roman" w:hAnsi="Times New Roman" w:cs="David"/>
              <w:noProof/>
              <w:sz w:val="24"/>
              <w:szCs w:val="24"/>
            </w:rPr>
            <w:drawing>
              <wp:inline distT="0" distB="0" distL="0" distR="0" wp14:anchorId="4FDC3DC3" wp14:editId="3F36779F">
                <wp:extent cx="1666875" cy="10477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634561" w:rsidRPr="00634561" w:rsidRDefault="00634561" w:rsidP="00634561">
      <w:pPr>
        <w:tabs>
          <w:tab w:val="left" w:pos="2553"/>
        </w:tabs>
        <w:spacing w:after="0" w:line="240" w:lineRule="auto"/>
        <w:rPr>
          <w:rFonts w:ascii="Arial" w:eastAsia="Times New Roman" w:hAnsi="Arial" w:cs="David"/>
          <w:sz w:val="24"/>
          <w:szCs w:val="24"/>
        </w:rPr>
      </w:pPr>
    </w:p>
    <w:p w:rsidR="000C3BE2" w:rsidRDefault="000C3BE2"/>
    <w:sectPr w:rsidR="000C3BE2"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142CE"/>
    <w:multiLevelType w:val="hybridMultilevel"/>
    <w:tmpl w:val="932212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561"/>
    <w:rsid w:val="000C3BE2"/>
    <w:rsid w:val="00634561"/>
    <w:rsid w:val="00897C85"/>
    <w:rsid w:val="00F6412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DFA0E2-4209-4A95-AF8A-F463595D8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34561"/>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semiHidden/>
    <w:unhideWhenUsed/>
    <w:rsid w:val="00634561"/>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5">
    <w:name w:val="כותרת עליונה תו"/>
    <w:basedOn w:val="a0"/>
    <w:link w:val="a4"/>
    <w:semiHidden/>
    <w:rsid w:val="00634561"/>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374181">
      <w:bodyDiv w:val="1"/>
      <w:marLeft w:val="0"/>
      <w:marRight w:val="0"/>
      <w:marTop w:val="0"/>
      <w:marBottom w:val="0"/>
      <w:divBdr>
        <w:top w:val="none" w:sz="0" w:space="0" w:color="auto"/>
        <w:left w:val="none" w:sz="0" w:space="0" w:color="auto"/>
        <w:bottom w:val="none" w:sz="0" w:space="0" w:color="auto"/>
        <w:right w:val="none" w:sz="0" w:space="0" w:color="auto"/>
      </w:divBdr>
    </w:div>
    <w:div w:id="125239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3A310D0BD74E3AA79C65F79EBF064A"/>
        <w:category>
          <w:name w:val="כללי"/>
          <w:gallery w:val="placeholder"/>
        </w:category>
        <w:types>
          <w:type w:val="bbPlcHdr"/>
        </w:types>
        <w:behaviors>
          <w:behavior w:val="content"/>
        </w:behaviors>
        <w:guid w:val="{C83B0FE1-ECDC-4C1C-8613-1B4884C33D7C}"/>
      </w:docPartPr>
      <w:docPartBody>
        <w:p w:rsidR="006170A4" w:rsidRDefault="0033127B" w:rsidP="0033127B">
          <w:pPr>
            <w:pStyle w:val="323A310D0BD74E3AA79C65F79EBF064A"/>
          </w:pPr>
          <w:r>
            <w:rPr>
              <w:rFonts w:ascii="Arial" w:hAnsi="Arial"/>
              <w:b/>
              <w:bCs/>
              <w:sz w:val="26"/>
              <w:szCs w:val="26"/>
              <w:rtl/>
            </w:rPr>
            <w:t>שם צד א' ללא שם של חסוי</w:t>
          </w:r>
        </w:p>
      </w:docPartBody>
    </w:docPart>
    <w:docPart>
      <w:docPartPr>
        <w:name w:val="0DDB7B9A9C2E420A863DEF775DD99A53"/>
        <w:category>
          <w:name w:val="כללי"/>
          <w:gallery w:val="placeholder"/>
        </w:category>
        <w:types>
          <w:type w:val="bbPlcHdr"/>
        </w:types>
        <w:behaviors>
          <w:behavior w:val="content"/>
        </w:behaviors>
        <w:guid w:val="{5F248ECF-88AC-46FB-8DC9-6D2A5D7A223D}"/>
      </w:docPartPr>
      <w:docPartBody>
        <w:p w:rsidR="006170A4" w:rsidRDefault="0033127B" w:rsidP="0033127B">
          <w:pPr>
            <w:pStyle w:val="0DDB7B9A9C2E420A863DEF775DD99A53"/>
          </w:pPr>
          <w:r>
            <w:rPr>
              <w:rFonts w:ascii="Arial" w:hAnsi="Arial"/>
              <w:b/>
              <w:bCs/>
              <w:sz w:val="26"/>
              <w:szCs w:val="26"/>
              <w:rtl/>
            </w:rPr>
            <w:t>שם צד ב' ללא שם של חסוי</w:t>
          </w:r>
        </w:p>
      </w:docPartBody>
    </w:docPart>
    <w:docPart>
      <w:docPartPr>
        <w:name w:val="5460745126FE4D94BA87CD9B7EA481E2"/>
        <w:category>
          <w:name w:val="כללי"/>
          <w:gallery w:val="placeholder"/>
        </w:category>
        <w:types>
          <w:type w:val="bbPlcHdr"/>
        </w:types>
        <w:behaviors>
          <w:behavior w:val="content"/>
        </w:behaviors>
        <w:guid w:val="{43A65315-E2EA-4408-9827-34B9D192A3AD}"/>
      </w:docPartPr>
      <w:docPartBody>
        <w:p w:rsidR="006170A4" w:rsidRDefault="0033127B" w:rsidP="0033127B">
          <w:pPr>
            <w:pStyle w:val="5460745126FE4D94BA87CD9B7EA481E2"/>
          </w:pPr>
          <w:r>
            <w:rPr>
              <w:rtl/>
            </w:rPr>
            <w:t xml:space="preserve">     </w:t>
          </w:r>
        </w:p>
      </w:docPartBody>
    </w:docPart>
    <w:docPart>
      <w:docPartPr>
        <w:name w:val="49C8DA68888445708D20457747A439EB"/>
        <w:category>
          <w:name w:val="כללי"/>
          <w:gallery w:val="placeholder"/>
        </w:category>
        <w:types>
          <w:type w:val="bbPlcHdr"/>
        </w:types>
        <w:behaviors>
          <w:behavior w:val="content"/>
        </w:behaviors>
        <w:guid w:val="{45A83F1C-CC38-40D2-A7AD-143AD9EA6DDA}"/>
      </w:docPartPr>
      <w:docPartBody>
        <w:p w:rsidR="006170A4" w:rsidRDefault="0033127B" w:rsidP="0033127B">
          <w:pPr>
            <w:pStyle w:val="49C8DA68888445708D20457747A439EB"/>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27B"/>
    <w:rsid w:val="0033127B"/>
    <w:rsid w:val="006170A4"/>
    <w:rsid w:val="00A3721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23A310D0BD74E3AA79C65F79EBF064A">
    <w:name w:val="323A310D0BD74E3AA79C65F79EBF064A"/>
    <w:rsid w:val="0033127B"/>
    <w:pPr>
      <w:bidi/>
    </w:pPr>
  </w:style>
  <w:style w:type="paragraph" w:customStyle="1" w:styleId="0DDB7B9A9C2E420A863DEF775DD99A53">
    <w:name w:val="0DDB7B9A9C2E420A863DEF775DD99A53"/>
    <w:rsid w:val="0033127B"/>
    <w:pPr>
      <w:bidi/>
    </w:pPr>
  </w:style>
  <w:style w:type="paragraph" w:customStyle="1" w:styleId="5460745126FE4D94BA87CD9B7EA481E2">
    <w:name w:val="5460745126FE4D94BA87CD9B7EA481E2"/>
    <w:rsid w:val="0033127B"/>
    <w:pPr>
      <w:bidi/>
    </w:pPr>
  </w:style>
  <w:style w:type="paragraph" w:customStyle="1" w:styleId="49C8DA68888445708D20457747A439EB">
    <w:name w:val="49C8DA68888445708D20457747A439EB"/>
    <w:rsid w:val="0033127B"/>
    <w:pPr>
      <w:bidi/>
    </w:pPr>
  </w:style>
  <w:style w:type="paragraph" w:customStyle="1" w:styleId="5F1A267337FC46C380A2AC6513F5609B">
    <w:name w:val="5F1A267337FC46C380A2AC6513F5609B"/>
    <w:rsid w:val="0033127B"/>
    <w:pPr>
      <w:bidi/>
    </w:pPr>
  </w:style>
  <w:style w:type="paragraph" w:customStyle="1" w:styleId="EB49630E10D24FBF8FDF07B5E17B9ED1">
    <w:name w:val="EB49630E10D24FBF8FDF07B5E17B9ED1"/>
    <w:rsid w:val="0033127B"/>
    <w:pPr>
      <w:bidi/>
    </w:pPr>
  </w:style>
  <w:style w:type="paragraph" w:customStyle="1" w:styleId="8C5B1979227F4E5584AC93973C4FD8C9">
    <w:name w:val="8C5B1979227F4E5584AC93973C4FD8C9"/>
    <w:rsid w:val="0033127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2461</Words>
  <Characters>12305</Characters>
  <Application>Microsoft Office Word</Application>
  <DocSecurity>0</DocSecurity>
  <Lines>102</Lines>
  <Paragraphs>29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2023-08-06T06:22:00Z</dcterms:created>
  <dcterms:modified xsi:type="dcterms:W3CDTF">2023-08-06T06:22:00Z</dcterms:modified>
</cp:coreProperties>
</file>